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622C7" w14:textId="77777777" w:rsidR="0074696E" w:rsidRPr="004C6EEE" w:rsidRDefault="00B9264B" w:rsidP="00AD784C">
      <w:pPr>
        <w:pStyle w:val="Spacerparatopoffirstpage"/>
      </w:pPr>
      <w:r>
        <w:rPr>
          <w:lang w:eastAsia="en-AU"/>
        </w:rPr>
        <w:drawing>
          <wp:anchor distT="0" distB="0" distL="114300" distR="114300" simplePos="0" relativeHeight="251658240" behindDoc="1" locked="1" layoutInCell="0" allowOverlap="1" wp14:anchorId="15B6E51A" wp14:editId="1C675AFB">
            <wp:simplePos x="0" y="0"/>
            <wp:positionH relativeFrom="page">
              <wp:posOffset>-12065</wp:posOffset>
            </wp:positionH>
            <wp:positionV relativeFrom="page">
              <wp:posOffset>-635</wp:posOffset>
            </wp:positionV>
            <wp:extent cx="7567930" cy="1586230"/>
            <wp:effectExtent l="0" t="0" r="0" b="0"/>
            <wp:wrapNone/>
            <wp:docPr id="2" name="Picture 30" descr="Victorian Disability Worke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ictorian Disability Worker Commis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7930" cy="1586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20FBDF" w14:textId="77777777" w:rsidR="00A62D44" w:rsidRPr="004C6EEE" w:rsidRDefault="00A62D44" w:rsidP="004C6EEE">
      <w:pPr>
        <w:pStyle w:val="Sectionbreakfirstpage"/>
        <w:sectPr w:rsidR="00A62D44" w:rsidRPr="004C6EEE" w:rsidSect="00AD784C">
          <w:footerReference w:type="default" r:id="rId12"/>
          <w:pgSz w:w="11906" w:h="16838" w:code="9"/>
          <w:pgMar w:top="567" w:right="851" w:bottom="1418" w:left="851" w:header="510" w:footer="510" w:gutter="0"/>
          <w:cols w:space="708"/>
          <w:docGrid w:linePitch="360"/>
        </w:sectPr>
      </w:pPr>
    </w:p>
    <w:tbl>
      <w:tblPr>
        <w:tblW w:w="5514" w:type="dxa"/>
        <w:jc w:val="right"/>
        <w:tblCellMar>
          <w:left w:w="0" w:type="dxa"/>
          <w:right w:w="0" w:type="dxa"/>
        </w:tblCellMar>
        <w:tblLook w:val="0600" w:firstRow="0" w:lastRow="0" w:firstColumn="0" w:lastColumn="0" w:noHBand="1" w:noVBand="1"/>
      </w:tblPr>
      <w:tblGrid>
        <w:gridCol w:w="5514"/>
      </w:tblGrid>
      <w:tr w:rsidR="00AD784C" w:rsidRPr="00E60D6C" w14:paraId="65F8CC8C" w14:textId="77777777" w:rsidTr="00AD0BBF">
        <w:trPr>
          <w:trHeight w:val="1133"/>
          <w:jc w:val="right"/>
        </w:trPr>
        <w:tc>
          <w:tcPr>
            <w:tcW w:w="5514" w:type="dxa"/>
            <w:shd w:val="clear" w:color="auto" w:fill="auto"/>
            <w:vAlign w:val="bottom"/>
          </w:tcPr>
          <w:p w14:paraId="63EC2F63" w14:textId="40DB4826" w:rsidR="007F540E" w:rsidRDefault="00F56921" w:rsidP="00E60D6C">
            <w:pPr>
              <w:pStyle w:val="VDWCmainheading"/>
            </w:pPr>
            <w:r>
              <w:t>P</w:t>
            </w:r>
            <w:r w:rsidR="00BF5847">
              <w:t>ublic interest</w:t>
            </w:r>
            <w:r>
              <w:t xml:space="preserve"> disclosures</w:t>
            </w:r>
            <w:r w:rsidR="007F540E">
              <w:t xml:space="preserve"> policy</w:t>
            </w:r>
            <w:r>
              <w:t xml:space="preserve"> and procedure</w:t>
            </w:r>
            <w:r w:rsidR="007F540E">
              <w:t xml:space="preserve"> </w:t>
            </w:r>
          </w:p>
          <w:p w14:paraId="236B49BE" w14:textId="5474EDF3" w:rsidR="00AD784C" w:rsidRPr="00E60D6C" w:rsidRDefault="00AD784C" w:rsidP="00E60D6C">
            <w:pPr>
              <w:pStyle w:val="VDWCmainheading"/>
            </w:pPr>
          </w:p>
        </w:tc>
      </w:tr>
    </w:tbl>
    <w:p w14:paraId="14CC157E" w14:textId="77777777" w:rsidR="003D5CF2" w:rsidRDefault="003D5CF2" w:rsidP="00113E0F">
      <w:pPr>
        <w:pStyle w:val="Heading1"/>
      </w:pPr>
    </w:p>
    <w:p w14:paraId="515DAC52" w14:textId="24D96702" w:rsidR="00500F50" w:rsidRDefault="007F540E" w:rsidP="00500F50">
      <w:pPr>
        <w:pStyle w:val="Heading1"/>
      </w:pPr>
      <w:r>
        <w:t>Purpose</w:t>
      </w:r>
    </w:p>
    <w:p w14:paraId="4F12C7DA" w14:textId="7325E71E" w:rsidR="00F56921" w:rsidRDefault="00F56921" w:rsidP="00F023CF">
      <w:pPr>
        <w:pStyle w:val="VDWCbody"/>
      </w:pPr>
      <w:r w:rsidRPr="00F56921">
        <w:t xml:space="preserve">This document sets out </w:t>
      </w:r>
      <w:r w:rsidR="00484F47">
        <w:t xml:space="preserve">the </w:t>
      </w:r>
      <w:r w:rsidRPr="00F56921">
        <w:t>V</w:t>
      </w:r>
      <w:r w:rsidR="00FD2A74">
        <w:t xml:space="preserve">ictorian </w:t>
      </w:r>
      <w:r w:rsidRPr="00F56921">
        <w:t>D</w:t>
      </w:r>
      <w:r w:rsidR="00FD2A74">
        <w:t xml:space="preserve">isability </w:t>
      </w:r>
      <w:r w:rsidRPr="00F56921">
        <w:t>W</w:t>
      </w:r>
      <w:r w:rsidR="00FD2A74">
        <w:t>orker Commission</w:t>
      </w:r>
      <w:r w:rsidR="00484F47">
        <w:t>’s</w:t>
      </w:r>
      <w:r w:rsidR="00FD2A74">
        <w:t xml:space="preserve"> </w:t>
      </w:r>
      <w:r w:rsidR="002A0A74">
        <w:t xml:space="preserve">(the Commission's) </w:t>
      </w:r>
      <w:r w:rsidR="00FD2A74">
        <w:t>and the</w:t>
      </w:r>
      <w:r w:rsidR="002A0A74">
        <w:t xml:space="preserve"> Disability Worker </w:t>
      </w:r>
      <w:r w:rsidR="00484F47">
        <w:t xml:space="preserve">Registration </w:t>
      </w:r>
      <w:r w:rsidR="002A0A74">
        <w:t>Board of Victoria's (the Board</w:t>
      </w:r>
      <w:r w:rsidRPr="00F56921">
        <w:t>'s</w:t>
      </w:r>
      <w:r w:rsidR="002A0A74">
        <w:t>)</w:t>
      </w:r>
      <w:r w:rsidRPr="00F56921">
        <w:t xml:space="preserve"> </w:t>
      </w:r>
      <w:r w:rsidR="002F0954">
        <w:t xml:space="preserve">policy and </w:t>
      </w:r>
      <w:r w:rsidRPr="00F56921">
        <w:t xml:space="preserve">procedure on public interest disclosures under the </w:t>
      </w:r>
      <w:r w:rsidRPr="00F56921">
        <w:rPr>
          <w:i/>
        </w:rPr>
        <w:t>Public Interest Disclosures Act 2012</w:t>
      </w:r>
      <w:r w:rsidRPr="00F56921">
        <w:t xml:space="preserve"> (PID Act).</w:t>
      </w:r>
    </w:p>
    <w:p w14:paraId="24F82B31" w14:textId="03153FA4" w:rsidR="00F56921" w:rsidRDefault="00867965" w:rsidP="00F56921">
      <w:pPr>
        <w:pStyle w:val="VDWCbody"/>
      </w:pPr>
      <w:r>
        <w:t xml:space="preserve">The </w:t>
      </w:r>
      <w:r w:rsidR="00F56921">
        <w:t>C</w:t>
      </w:r>
      <w:r>
        <w:t>ommission</w:t>
      </w:r>
      <w:r w:rsidR="1858E484">
        <w:t xml:space="preserve"> and the Board</w:t>
      </w:r>
      <w:r w:rsidR="00F56921">
        <w:t>:</w:t>
      </w:r>
    </w:p>
    <w:p w14:paraId="5F9DACE6" w14:textId="27FA9891" w:rsidR="00F56921" w:rsidRDefault="35CC0A2C" w:rsidP="00F56921">
      <w:pPr>
        <w:pStyle w:val="VDWCbullet1"/>
      </w:pPr>
      <w:r>
        <w:t>are</w:t>
      </w:r>
      <w:r w:rsidR="00F56921">
        <w:t xml:space="preserve"> committed to the aims and objectives of the PID Act, and will not tolerate conduct that is contrary to the </w:t>
      </w:r>
      <w:r w:rsidR="00270440">
        <w:t xml:space="preserve">PID </w:t>
      </w:r>
      <w:r w:rsidR="00F56921">
        <w:t>Act</w:t>
      </w:r>
    </w:p>
    <w:p w14:paraId="3EFED2F0" w14:textId="5FF210CF" w:rsidR="00F56921" w:rsidRDefault="00F56921" w:rsidP="00F56921">
      <w:pPr>
        <w:pStyle w:val="VDWCbullet1"/>
      </w:pPr>
      <w:r>
        <w:t>will take all reasonable steps to protect people who make disclosures under the PID Act from 'detrimental action', and will take appropriate action against employees who have taken detrimental action (including disciplinary action)</w:t>
      </w:r>
    </w:p>
    <w:p w14:paraId="50EF23CB" w14:textId="23DC0E25" w:rsidR="00F56921" w:rsidRDefault="00F56921" w:rsidP="00F56921">
      <w:pPr>
        <w:pStyle w:val="VDWCbullet1"/>
      </w:pPr>
      <w:r>
        <w:t>will afford procedural fairness to anyone who is the subject of allegations in a disclosure</w:t>
      </w:r>
    </w:p>
    <w:p w14:paraId="013CFE16" w14:textId="53BBAB2C" w:rsidR="00F56921" w:rsidRDefault="00F56921" w:rsidP="00F56921">
      <w:pPr>
        <w:pStyle w:val="VDWCbullet1"/>
      </w:pPr>
      <w:r>
        <w:t xml:space="preserve">recognise the value of transparency and accountability in administrative and management practices and support disclosures that reveal improper conduct or detrimental action </w:t>
      </w:r>
    </w:p>
    <w:p w14:paraId="1BEC5594" w14:textId="22CCD20E" w:rsidR="00F56921" w:rsidRDefault="00F56921" w:rsidP="00F56921">
      <w:pPr>
        <w:pStyle w:val="VDWCbullet1"/>
      </w:pPr>
      <w:r>
        <w:t>will manage the welfare of persons connected with public interest disclosures consistently with the obligations arising under the PID Act</w:t>
      </w:r>
    </w:p>
    <w:p w14:paraId="549BE276" w14:textId="643AA383" w:rsidR="00F56921" w:rsidRDefault="00964FB5" w:rsidP="00F56921">
      <w:pPr>
        <w:pStyle w:val="VDWCbullet1"/>
      </w:pPr>
      <w:r>
        <w:t xml:space="preserve">will </w:t>
      </w:r>
      <w:r w:rsidR="00F56921">
        <w:t>be visible, approachable, communicative and lead by example in establishing a workplace that support</w:t>
      </w:r>
      <w:r w:rsidR="00867965">
        <w:t>s public interest disclosures.</w:t>
      </w:r>
    </w:p>
    <w:p w14:paraId="7B4BAA15" w14:textId="70DA8F7A" w:rsidR="00F56921" w:rsidRDefault="00F56921" w:rsidP="00F56921">
      <w:pPr>
        <w:pStyle w:val="VDWCbody"/>
      </w:pPr>
      <w:r>
        <w:t>These procedures deal with:</w:t>
      </w:r>
    </w:p>
    <w:p w14:paraId="2A70D0D9" w14:textId="61A28F2C" w:rsidR="00F56921" w:rsidRDefault="002F0954" w:rsidP="00F56921">
      <w:pPr>
        <w:pStyle w:val="VDWCbullet1"/>
      </w:pPr>
      <w:r>
        <w:t>h</w:t>
      </w:r>
      <w:r w:rsidR="00F56921">
        <w:t>ow the Commission</w:t>
      </w:r>
      <w:r w:rsidR="2079EDB6">
        <w:t xml:space="preserve"> and the Board</w:t>
      </w:r>
      <w:r w:rsidR="00F56921">
        <w:t xml:space="preserve"> support compliance with the </w:t>
      </w:r>
      <w:r w:rsidR="00BF5847">
        <w:t xml:space="preserve">public interest disclosure </w:t>
      </w:r>
      <w:r w:rsidR="00F56921">
        <w:t>regime</w:t>
      </w:r>
    </w:p>
    <w:p w14:paraId="4508EFDF" w14:textId="388CC153" w:rsidR="00F56921" w:rsidRDefault="002F0954" w:rsidP="00F56921">
      <w:pPr>
        <w:pStyle w:val="VDWCbullet1"/>
      </w:pPr>
      <w:r>
        <w:t>h</w:t>
      </w:r>
      <w:r w:rsidR="00F56921">
        <w:t>ow to make a disclosure</w:t>
      </w:r>
    </w:p>
    <w:p w14:paraId="0BBF40FF" w14:textId="345B832C" w:rsidR="00F56921" w:rsidRDefault="002F0954" w:rsidP="00F56921">
      <w:pPr>
        <w:pStyle w:val="VDWCbullet1"/>
      </w:pPr>
      <w:r>
        <w:t>h</w:t>
      </w:r>
      <w:r w:rsidR="00F56921">
        <w:t xml:space="preserve">ow the </w:t>
      </w:r>
      <w:r w:rsidR="00867965">
        <w:t>Commission</w:t>
      </w:r>
      <w:r w:rsidR="00F56921">
        <w:t xml:space="preserve"> </w:t>
      </w:r>
      <w:r w:rsidR="2167776B">
        <w:t xml:space="preserve">and the Board </w:t>
      </w:r>
      <w:r w:rsidR="00F56921">
        <w:t>support the welfare of staff</w:t>
      </w:r>
      <w:r w:rsidR="38926664">
        <w:t xml:space="preserve"> and members</w:t>
      </w:r>
      <w:r w:rsidR="00F56921">
        <w:t>.</w:t>
      </w:r>
    </w:p>
    <w:p w14:paraId="11A4F46D" w14:textId="17BCA7D1" w:rsidR="009D0E91" w:rsidRPr="00B44A92" w:rsidRDefault="009D0E91" w:rsidP="00CE4E2F">
      <w:pPr>
        <w:pStyle w:val="VDWCbodyafterbullets"/>
      </w:pPr>
      <w:r>
        <w:t xml:space="preserve">The Commission and the Board have adopted this joint policy and procedure in recognition of their </w:t>
      </w:r>
      <w:r w:rsidR="000C3184">
        <w:t xml:space="preserve">connected </w:t>
      </w:r>
      <w:r w:rsidR="00DE7B11">
        <w:t xml:space="preserve">functions under the </w:t>
      </w:r>
      <w:r w:rsidR="00DE7B11">
        <w:rPr>
          <w:i/>
          <w:iCs/>
        </w:rPr>
        <w:t>Disability Service Safeguards Act 20</w:t>
      </w:r>
      <w:r w:rsidR="00DE7B11" w:rsidRPr="00480CF6">
        <w:rPr>
          <w:i/>
          <w:iCs/>
        </w:rPr>
        <w:t>18</w:t>
      </w:r>
      <w:r w:rsidR="00DE7B11" w:rsidRPr="00480CF6">
        <w:t xml:space="preserve"> </w:t>
      </w:r>
      <w:r w:rsidR="000C3184" w:rsidRPr="00480CF6">
        <w:t xml:space="preserve">and </w:t>
      </w:r>
      <w:r w:rsidR="00270440" w:rsidRPr="00480CF6">
        <w:t>their shared commitment to</w:t>
      </w:r>
      <w:r w:rsidR="000C3184" w:rsidRPr="00480CF6">
        <w:t xml:space="preserve"> the </w:t>
      </w:r>
      <w:r w:rsidR="00270440" w:rsidRPr="00480CF6">
        <w:t>objectives of the PID Act.</w:t>
      </w:r>
    </w:p>
    <w:p w14:paraId="55215861" w14:textId="3518423E" w:rsidR="00F56921" w:rsidRDefault="00A9612A" w:rsidP="00F56921">
      <w:pPr>
        <w:pStyle w:val="VDWCbody"/>
      </w:pPr>
      <w:r>
        <w:t xml:space="preserve">These procedures are in addition to other legal obligations, including ensuring the health and wellbeing of employees of a public sector body under occupational health and safety laws, the </w:t>
      </w:r>
      <w:r w:rsidRPr="00A9612A">
        <w:rPr>
          <w:i/>
        </w:rPr>
        <w:t>Charter of Human Rights and Responsibilities Act 2006</w:t>
      </w:r>
      <w:r>
        <w:t xml:space="preserve">, the </w:t>
      </w:r>
      <w:r w:rsidRPr="00A9612A">
        <w:rPr>
          <w:i/>
        </w:rPr>
        <w:t>Public Administration Act 2004</w:t>
      </w:r>
      <w:r>
        <w:t>, and Victorian P</w:t>
      </w:r>
      <w:r w:rsidR="00867965">
        <w:t>ublic Sector Codes of Conduct.</w:t>
      </w:r>
      <w:r w:rsidR="000D2783">
        <w:t xml:space="preserve"> </w:t>
      </w:r>
      <w:r>
        <w:t>These procedures supplement guidelines produced by the Independent Broad-</w:t>
      </w:r>
      <w:r w:rsidR="00964FB5">
        <w:t>b</w:t>
      </w:r>
      <w:r>
        <w:t>ased Anti-</w:t>
      </w:r>
      <w:r w:rsidR="00964FB5">
        <w:t>c</w:t>
      </w:r>
      <w:r>
        <w:t xml:space="preserve">orruption Commission </w:t>
      </w:r>
      <w:r w:rsidRPr="00A9612A">
        <w:t>(</w:t>
      </w:r>
      <w:r w:rsidRPr="00A9612A">
        <w:rPr>
          <w:bCs/>
          <w:iCs/>
        </w:rPr>
        <w:t>IBAC</w:t>
      </w:r>
      <w:r w:rsidRPr="00A9612A">
        <w:t>)</w:t>
      </w:r>
      <w:r>
        <w:t xml:space="preserve">, such as the </w:t>
      </w:r>
      <w:r>
        <w:rPr>
          <w:i/>
          <w:iCs/>
        </w:rPr>
        <w:t xml:space="preserve">Guidelines for handling public interest disclosures </w:t>
      </w:r>
      <w:r>
        <w:t xml:space="preserve">(available </w:t>
      </w:r>
      <w:hyperlink r:id="rId13" w:history="1">
        <w:r>
          <w:rPr>
            <w:rStyle w:val="Hyperlink"/>
          </w:rPr>
          <w:t>here</w:t>
        </w:r>
      </w:hyperlink>
      <w:r>
        <w:t xml:space="preserve">) and </w:t>
      </w:r>
      <w:r>
        <w:rPr>
          <w:i/>
          <w:iCs/>
        </w:rPr>
        <w:t xml:space="preserve">Guidelines for public interest disclosure welfare management </w:t>
      </w:r>
      <w:r>
        <w:t xml:space="preserve">(available </w:t>
      </w:r>
      <w:hyperlink r:id="rId14" w:history="1">
        <w:r>
          <w:rPr>
            <w:rStyle w:val="Hyperlink"/>
          </w:rPr>
          <w:t>here</w:t>
        </w:r>
      </w:hyperlink>
      <w:r>
        <w:t>).</w:t>
      </w:r>
    </w:p>
    <w:p w14:paraId="6555EE5D" w14:textId="77777777" w:rsidR="00E301E0" w:rsidRDefault="00E301E0" w:rsidP="00E301E0">
      <w:pPr>
        <w:pStyle w:val="Heading1"/>
      </w:pPr>
      <w:r>
        <w:t>Application</w:t>
      </w:r>
    </w:p>
    <w:p w14:paraId="2DE0846D" w14:textId="7F287A11" w:rsidR="00E301E0" w:rsidRDefault="00E301E0" w:rsidP="00F56921">
      <w:pPr>
        <w:pStyle w:val="VDWCbody"/>
      </w:pPr>
      <w:r>
        <w:t xml:space="preserve">This </w:t>
      </w:r>
      <w:r w:rsidR="00484F47">
        <w:t>p</w:t>
      </w:r>
      <w:r>
        <w:t xml:space="preserve">olicy applies to all staff at the Commission, including the </w:t>
      </w:r>
      <w:r w:rsidR="006F3419">
        <w:t xml:space="preserve">Victorian Disability Worker </w:t>
      </w:r>
      <w:r>
        <w:t>Commissioner</w:t>
      </w:r>
      <w:r w:rsidR="006F3419">
        <w:t xml:space="preserve"> (the Commissioner)</w:t>
      </w:r>
      <w:r w:rsidR="00CA466E">
        <w:t xml:space="preserve">, the </w:t>
      </w:r>
      <w:r w:rsidR="009B1A8E">
        <w:t>Board</w:t>
      </w:r>
      <w:r w:rsidR="0017302F">
        <w:t xml:space="preserve"> and </w:t>
      </w:r>
      <w:r w:rsidR="00CA466E">
        <w:t xml:space="preserve">its </w:t>
      </w:r>
      <w:r w:rsidR="0017302F">
        <w:t>members</w:t>
      </w:r>
      <w:r>
        <w:t>.</w:t>
      </w:r>
    </w:p>
    <w:p w14:paraId="398687D8" w14:textId="3E0E95C5" w:rsidR="007F540E" w:rsidRDefault="007F540E" w:rsidP="00D87170">
      <w:pPr>
        <w:pStyle w:val="Heading1"/>
      </w:pPr>
      <w:r>
        <w:lastRenderedPageBreak/>
        <w:t>Definitions</w:t>
      </w:r>
    </w:p>
    <w:p w14:paraId="34B2E9CF" w14:textId="44D4FA0C" w:rsidR="009B10A4" w:rsidRPr="00E202B6" w:rsidRDefault="00E8368E" w:rsidP="00CE4E2F">
      <w:pPr>
        <w:pStyle w:val="Heading2"/>
      </w:pPr>
      <w:r w:rsidRPr="00E202B6">
        <w:t>T</w:t>
      </w:r>
      <w:r w:rsidR="009B10A4" w:rsidRPr="00E202B6">
        <w:t>erms used in this policy</w:t>
      </w:r>
    </w:p>
    <w:tbl>
      <w:tblPr>
        <w:tblW w:w="10314" w:type="dxa"/>
        <w:tblInd w:w="-113" w:type="dxa"/>
        <w:tblLook w:val="0600" w:firstRow="0" w:lastRow="0" w:firstColumn="0" w:lastColumn="0" w:noHBand="1" w:noVBand="1"/>
      </w:tblPr>
      <w:tblGrid>
        <w:gridCol w:w="2410"/>
        <w:gridCol w:w="7904"/>
      </w:tblGrid>
      <w:tr w:rsidR="00A9612A" w:rsidRPr="00A9612A" w14:paraId="7787889B" w14:textId="77777777" w:rsidTr="005B653E">
        <w:tc>
          <w:tcPr>
            <w:tcW w:w="2410" w:type="dxa"/>
            <w:hideMark/>
          </w:tcPr>
          <w:p w14:paraId="617A85DA" w14:textId="77777777" w:rsidR="00A9612A" w:rsidRPr="00A9612A" w:rsidRDefault="00A9612A">
            <w:pPr>
              <w:rPr>
                <w:rFonts w:ascii="Arial" w:hAnsi="Arial" w:cs="Arial"/>
              </w:rPr>
            </w:pPr>
            <w:r w:rsidRPr="00A9612A">
              <w:rPr>
                <w:rFonts w:ascii="Arial" w:hAnsi="Arial" w:cs="Arial"/>
              </w:rPr>
              <w:t>Cooperator</w:t>
            </w:r>
          </w:p>
        </w:tc>
        <w:tc>
          <w:tcPr>
            <w:tcW w:w="7904" w:type="dxa"/>
            <w:hideMark/>
          </w:tcPr>
          <w:p w14:paraId="346DE8C4" w14:textId="77777777" w:rsidR="00A9612A" w:rsidRPr="00A9612A" w:rsidRDefault="00A9612A">
            <w:pPr>
              <w:rPr>
                <w:rFonts w:ascii="Arial" w:hAnsi="Arial" w:cs="Arial"/>
              </w:rPr>
            </w:pPr>
            <w:r w:rsidRPr="00A9612A">
              <w:rPr>
                <w:rFonts w:ascii="Arial" w:hAnsi="Arial" w:cs="Arial"/>
                <w:bCs/>
              </w:rPr>
              <w:t xml:space="preserve">Someone who cooperates or intends to cooperate with an investigation of a disclosure </w:t>
            </w:r>
          </w:p>
        </w:tc>
      </w:tr>
      <w:tr w:rsidR="00A9612A" w:rsidRPr="00A9612A" w14:paraId="35D2DD2A" w14:textId="77777777" w:rsidTr="005B653E">
        <w:tc>
          <w:tcPr>
            <w:tcW w:w="2410" w:type="dxa"/>
            <w:hideMark/>
          </w:tcPr>
          <w:p w14:paraId="2590A79C" w14:textId="77777777" w:rsidR="00A9612A" w:rsidRPr="00A9612A" w:rsidRDefault="00A9612A">
            <w:pPr>
              <w:rPr>
                <w:rFonts w:ascii="Arial" w:hAnsi="Arial" w:cs="Arial"/>
              </w:rPr>
            </w:pPr>
            <w:r w:rsidRPr="00A9612A">
              <w:rPr>
                <w:rFonts w:ascii="Arial" w:hAnsi="Arial" w:cs="Arial"/>
              </w:rPr>
              <w:t>Detrimental action</w:t>
            </w:r>
          </w:p>
        </w:tc>
        <w:tc>
          <w:tcPr>
            <w:tcW w:w="7904" w:type="dxa"/>
            <w:hideMark/>
          </w:tcPr>
          <w:p w14:paraId="397AC48B" w14:textId="04B58C86" w:rsidR="008C5E01" w:rsidRPr="00A9612A" w:rsidRDefault="00A9612A">
            <w:pPr>
              <w:rPr>
                <w:rFonts w:ascii="Arial" w:hAnsi="Arial" w:cs="Arial"/>
                <w:bCs/>
              </w:rPr>
            </w:pPr>
            <w:r w:rsidRPr="00A9612A">
              <w:rPr>
                <w:rFonts w:ascii="Arial" w:hAnsi="Arial" w:cs="Arial"/>
                <w:bCs/>
              </w:rPr>
              <w:t>Action against a person in reprisal for them having made a public interest disclosure</w:t>
            </w:r>
          </w:p>
        </w:tc>
      </w:tr>
      <w:tr w:rsidR="008C5E01" w:rsidRPr="00A9612A" w14:paraId="62078060" w14:textId="77777777" w:rsidTr="005B653E">
        <w:tc>
          <w:tcPr>
            <w:tcW w:w="2410" w:type="dxa"/>
          </w:tcPr>
          <w:p w14:paraId="0CE348DB" w14:textId="780291CE" w:rsidR="008C5E01" w:rsidRPr="00A9612A" w:rsidRDefault="008C5E01">
            <w:pPr>
              <w:rPr>
                <w:rFonts w:ascii="Arial" w:hAnsi="Arial" w:cs="Arial"/>
              </w:rPr>
            </w:pPr>
            <w:r>
              <w:rPr>
                <w:rFonts w:ascii="Arial" w:hAnsi="Arial" w:cs="Arial"/>
              </w:rPr>
              <w:t>Improper conduct</w:t>
            </w:r>
          </w:p>
        </w:tc>
        <w:tc>
          <w:tcPr>
            <w:tcW w:w="7904" w:type="dxa"/>
          </w:tcPr>
          <w:p w14:paraId="066EC1A5" w14:textId="42E187E3" w:rsidR="008C5E01" w:rsidRPr="00A9612A" w:rsidRDefault="008C5E01">
            <w:pPr>
              <w:rPr>
                <w:rFonts w:ascii="Arial" w:hAnsi="Arial" w:cs="Arial"/>
                <w:bCs/>
              </w:rPr>
            </w:pPr>
            <w:r>
              <w:rPr>
                <w:rFonts w:ascii="Arial" w:hAnsi="Arial" w:cs="Arial"/>
                <w:bCs/>
              </w:rPr>
              <w:t>See explanation in policy</w:t>
            </w:r>
          </w:p>
        </w:tc>
      </w:tr>
      <w:tr w:rsidR="00A9612A" w:rsidRPr="00A9612A" w14:paraId="556F394A" w14:textId="77777777" w:rsidTr="005B653E">
        <w:tc>
          <w:tcPr>
            <w:tcW w:w="2410" w:type="dxa"/>
            <w:hideMark/>
          </w:tcPr>
          <w:p w14:paraId="757B77D6" w14:textId="77777777" w:rsidR="00A9612A" w:rsidRPr="00A9612A" w:rsidRDefault="00A9612A">
            <w:pPr>
              <w:rPr>
                <w:rFonts w:ascii="Arial" w:hAnsi="Arial" w:cs="Arial"/>
              </w:rPr>
            </w:pPr>
            <w:r w:rsidRPr="00A9612A">
              <w:rPr>
                <w:rFonts w:ascii="Arial" w:hAnsi="Arial" w:cs="Arial"/>
              </w:rPr>
              <w:t>Investigative entity</w:t>
            </w:r>
          </w:p>
        </w:tc>
        <w:tc>
          <w:tcPr>
            <w:tcW w:w="7904" w:type="dxa"/>
            <w:hideMark/>
          </w:tcPr>
          <w:p w14:paraId="1CB135F2" w14:textId="7F9EBF32" w:rsidR="00A9612A" w:rsidRPr="00A9612A" w:rsidRDefault="00A9612A">
            <w:pPr>
              <w:rPr>
                <w:rFonts w:ascii="Arial" w:hAnsi="Arial" w:cs="Arial"/>
              </w:rPr>
            </w:pPr>
            <w:r w:rsidRPr="00A9612A">
              <w:rPr>
                <w:rFonts w:ascii="Arial" w:hAnsi="Arial" w:cs="Arial"/>
              </w:rPr>
              <w:t xml:space="preserve">A body authorised to investigate a </w:t>
            </w:r>
            <w:r w:rsidR="00574C13">
              <w:rPr>
                <w:rFonts w:ascii="Arial" w:hAnsi="Arial" w:cs="Arial"/>
              </w:rPr>
              <w:t>public interest</w:t>
            </w:r>
            <w:r w:rsidRPr="00A9612A">
              <w:rPr>
                <w:rFonts w:ascii="Arial" w:hAnsi="Arial" w:cs="Arial"/>
              </w:rPr>
              <w:t xml:space="preserve"> complaint</w:t>
            </w:r>
          </w:p>
        </w:tc>
      </w:tr>
      <w:tr w:rsidR="00A9612A" w:rsidRPr="00A9612A" w14:paraId="376737FD" w14:textId="77777777" w:rsidTr="005B653E">
        <w:tc>
          <w:tcPr>
            <w:tcW w:w="2410" w:type="dxa"/>
            <w:hideMark/>
          </w:tcPr>
          <w:p w14:paraId="26F5A473" w14:textId="77777777" w:rsidR="00A9612A" w:rsidRPr="00A9612A" w:rsidRDefault="00A9612A">
            <w:pPr>
              <w:rPr>
                <w:rFonts w:ascii="Arial" w:hAnsi="Arial" w:cs="Arial"/>
              </w:rPr>
            </w:pPr>
            <w:r w:rsidRPr="00A9612A">
              <w:rPr>
                <w:rFonts w:ascii="Arial" w:hAnsi="Arial" w:cs="Arial"/>
              </w:rPr>
              <w:t>Disclosure</w:t>
            </w:r>
          </w:p>
        </w:tc>
        <w:tc>
          <w:tcPr>
            <w:tcW w:w="7904" w:type="dxa"/>
            <w:hideMark/>
          </w:tcPr>
          <w:p w14:paraId="38B29E14" w14:textId="77777777" w:rsidR="00A9612A" w:rsidRPr="00A9612A" w:rsidRDefault="00A9612A">
            <w:pPr>
              <w:rPr>
                <w:rFonts w:ascii="Arial" w:hAnsi="Arial" w:cs="Arial"/>
              </w:rPr>
            </w:pPr>
            <w:r w:rsidRPr="00A9612A">
              <w:rPr>
                <w:rFonts w:ascii="Arial" w:hAnsi="Arial" w:cs="Arial"/>
              </w:rPr>
              <w:t>A disclosure about improper conduct in the public sector under the PID Act</w:t>
            </w:r>
          </w:p>
        </w:tc>
      </w:tr>
      <w:tr w:rsidR="00A9612A" w:rsidRPr="00A9612A" w14:paraId="226DCBDE" w14:textId="77777777" w:rsidTr="005B653E">
        <w:tc>
          <w:tcPr>
            <w:tcW w:w="2410" w:type="dxa"/>
            <w:hideMark/>
          </w:tcPr>
          <w:p w14:paraId="0DDBACC5" w14:textId="77777777" w:rsidR="00A9612A" w:rsidRPr="00A9612A" w:rsidRDefault="00A9612A">
            <w:pPr>
              <w:rPr>
                <w:rFonts w:ascii="Arial" w:hAnsi="Arial" w:cs="Arial"/>
              </w:rPr>
            </w:pPr>
            <w:r w:rsidRPr="00A9612A">
              <w:rPr>
                <w:rFonts w:ascii="Arial" w:hAnsi="Arial" w:cs="Arial"/>
              </w:rPr>
              <w:t>Discloser</w:t>
            </w:r>
          </w:p>
        </w:tc>
        <w:tc>
          <w:tcPr>
            <w:tcW w:w="7904" w:type="dxa"/>
            <w:hideMark/>
          </w:tcPr>
          <w:p w14:paraId="3F7FBC76" w14:textId="77777777" w:rsidR="00A9612A" w:rsidRPr="00A9612A" w:rsidRDefault="00A9612A">
            <w:pPr>
              <w:rPr>
                <w:rFonts w:ascii="Arial" w:hAnsi="Arial" w:cs="Arial"/>
              </w:rPr>
            </w:pPr>
            <w:r w:rsidRPr="00A9612A">
              <w:rPr>
                <w:rFonts w:ascii="Arial" w:hAnsi="Arial" w:cs="Arial"/>
              </w:rPr>
              <w:t>Someone who makes a public interest disclosure</w:t>
            </w:r>
          </w:p>
        </w:tc>
      </w:tr>
      <w:tr w:rsidR="00A9612A" w:rsidRPr="00A9612A" w14:paraId="1881D336" w14:textId="77777777" w:rsidTr="005B653E">
        <w:tc>
          <w:tcPr>
            <w:tcW w:w="2410" w:type="dxa"/>
            <w:hideMark/>
          </w:tcPr>
          <w:p w14:paraId="6932C4AF" w14:textId="4612CFA8" w:rsidR="00A9612A" w:rsidRPr="00A9612A" w:rsidRDefault="00A9612A">
            <w:pPr>
              <w:rPr>
                <w:rFonts w:ascii="Arial" w:hAnsi="Arial" w:cs="Arial"/>
              </w:rPr>
            </w:pPr>
            <w:r w:rsidRPr="00A9612A">
              <w:rPr>
                <w:rFonts w:ascii="Arial" w:hAnsi="Arial" w:cs="Arial"/>
              </w:rPr>
              <w:t>Public interest disclosure</w:t>
            </w:r>
          </w:p>
        </w:tc>
        <w:tc>
          <w:tcPr>
            <w:tcW w:w="7904" w:type="dxa"/>
            <w:hideMark/>
          </w:tcPr>
          <w:p w14:paraId="5BB060E3" w14:textId="0E3DE07B" w:rsidR="00A9612A" w:rsidRPr="00A9612A" w:rsidRDefault="00B4393B">
            <w:pPr>
              <w:rPr>
                <w:rFonts w:ascii="Arial" w:hAnsi="Arial" w:cs="Arial"/>
              </w:rPr>
            </w:pPr>
            <w:r>
              <w:rPr>
                <w:rFonts w:ascii="Arial" w:hAnsi="Arial" w:cs="Arial"/>
              </w:rPr>
              <w:t>See explanation in policy</w:t>
            </w:r>
          </w:p>
        </w:tc>
      </w:tr>
      <w:tr w:rsidR="00A9612A" w:rsidRPr="00A9612A" w14:paraId="47D84BB2" w14:textId="77777777" w:rsidTr="005B653E">
        <w:tc>
          <w:tcPr>
            <w:tcW w:w="2410" w:type="dxa"/>
            <w:hideMark/>
          </w:tcPr>
          <w:p w14:paraId="479083ED" w14:textId="5BD0D60F" w:rsidR="00A9612A" w:rsidRPr="00A9612A" w:rsidRDefault="00A9612A">
            <w:pPr>
              <w:rPr>
                <w:rFonts w:ascii="Arial" w:hAnsi="Arial" w:cs="Arial"/>
              </w:rPr>
            </w:pPr>
            <w:r w:rsidRPr="00A9612A">
              <w:rPr>
                <w:rFonts w:ascii="Arial" w:hAnsi="Arial" w:cs="Arial"/>
              </w:rPr>
              <w:t xml:space="preserve">Public interest complaint </w:t>
            </w:r>
          </w:p>
        </w:tc>
        <w:tc>
          <w:tcPr>
            <w:tcW w:w="7904" w:type="dxa"/>
            <w:hideMark/>
          </w:tcPr>
          <w:p w14:paraId="0E21F59D" w14:textId="77777777" w:rsidR="00A9612A" w:rsidRPr="00A9612A" w:rsidRDefault="00A9612A">
            <w:pPr>
              <w:rPr>
                <w:rFonts w:ascii="Arial" w:hAnsi="Arial" w:cs="Arial"/>
              </w:rPr>
            </w:pPr>
            <w:r w:rsidRPr="00A9612A">
              <w:rPr>
                <w:rFonts w:ascii="Arial" w:hAnsi="Arial" w:cs="Arial"/>
              </w:rPr>
              <w:t>A disclosure determined by IBAC to be a public interest complaint</w:t>
            </w:r>
          </w:p>
        </w:tc>
      </w:tr>
    </w:tbl>
    <w:p w14:paraId="6CEFF8D0" w14:textId="3D70D937" w:rsidR="009B10A4" w:rsidRDefault="009B10A4" w:rsidP="00CE4E2F">
      <w:pPr>
        <w:pStyle w:val="Heading2"/>
      </w:pPr>
      <w:r w:rsidRPr="009B10A4">
        <w:t xml:space="preserve">What is a </w:t>
      </w:r>
      <w:r w:rsidR="00BF5847">
        <w:t>public interest disclosure</w:t>
      </w:r>
      <w:r w:rsidRPr="009B10A4">
        <w:t>?</w:t>
      </w:r>
    </w:p>
    <w:p w14:paraId="1AAD4F41" w14:textId="1570DAF5" w:rsidR="009B10A4" w:rsidRPr="009B10A4" w:rsidRDefault="009B10A4" w:rsidP="009B10A4">
      <w:pPr>
        <w:pStyle w:val="VDWCbody"/>
      </w:pPr>
      <w:r w:rsidRPr="009B10A4">
        <w:t>A</w:t>
      </w:r>
      <w:r w:rsidR="004B1AC1">
        <w:t xml:space="preserve"> </w:t>
      </w:r>
      <w:r w:rsidR="00B4393B">
        <w:t>p</w:t>
      </w:r>
      <w:r w:rsidR="004B1AC1">
        <w:t xml:space="preserve">ublic </w:t>
      </w:r>
      <w:r w:rsidR="00B4393B">
        <w:t>i</w:t>
      </w:r>
      <w:r w:rsidR="008C5E01">
        <w:t xml:space="preserve">nterest </w:t>
      </w:r>
      <w:r w:rsidR="00B4393B">
        <w:t>d</w:t>
      </w:r>
      <w:r w:rsidR="008C5E01">
        <w:t xml:space="preserve">isclosure </w:t>
      </w:r>
      <w:r w:rsidRPr="009B10A4">
        <w:t>is a disclosure by a natural person that:</w:t>
      </w:r>
      <w:r>
        <w:t xml:space="preserve"> </w:t>
      </w:r>
      <w:r w:rsidRPr="009B10A4">
        <w:t>shows, tends to show; or includes information that the person reasonably believes shows or tends to show, that</w:t>
      </w:r>
      <w:r w:rsidR="00964FB5">
        <w:t>:</w:t>
      </w:r>
    </w:p>
    <w:p w14:paraId="529F1E68" w14:textId="60B374B4" w:rsidR="009B10A4" w:rsidRPr="009B10A4" w:rsidRDefault="009B10A4" w:rsidP="009B10A4">
      <w:pPr>
        <w:pStyle w:val="VDWCbullet1"/>
      </w:pPr>
      <w:r w:rsidRPr="009B10A4">
        <w:t xml:space="preserve">'improper conduct' has, is, or is proposed to occur or </w:t>
      </w:r>
    </w:p>
    <w:p w14:paraId="1A6D5D64" w14:textId="5285786D" w:rsidR="009B10A4" w:rsidRPr="009B10A4" w:rsidRDefault="009B10A4" w:rsidP="009B10A4">
      <w:pPr>
        <w:pStyle w:val="VDWCbullet1"/>
      </w:pPr>
      <w:r w:rsidRPr="009B10A4">
        <w:t xml:space="preserve">'detrimental action' has, is, or is proposed to be taken in reprisal for a </w:t>
      </w:r>
      <w:r w:rsidR="001F78A3">
        <w:t>public interest disclosure</w:t>
      </w:r>
      <w:r w:rsidRPr="009B10A4">
        <w:t>.</w:t>
      </w:r>
    </w:p>
    <w:p w14:paraId="35CE1318" w14:textId="360EDFF6" w:rsidR="002F2D4E" w:rsidRDefault="002F2D4E" w:rsidP="00CE4E2F">
      <w:pPr>
        <w:pStyle w:val="VDWCbodyafterbullets"/>
      </w:pPr>
      <w:r>
        <w:t xml:space="preserve">A </w:t>
      </w:r>
      <w:r w:rsidR="00B4393B" w:rsidRPr="00B4393B">
        <w:t>public interest disclosure</w:t>
      </w:r>
      <w:r w:rsidR="005A6392">
        <w:t xml:space="preserve"> </w:t>
      </w:r>
      <w:r>
        <w:t>was</w:t>
      </w:r>
      <w:r w:rsidRPr="009B10A4">
        <w:t xml:space="preserve"> previously called a </w:t>
      </w:r>
      <w:r w:rsidR="005A6392">
        <w:t>'</w:t>
      </w:r>
      <w:r w:rsidRPr="009B10A4">
        <w:t>protected disclosure'</w:t>
      </w:r>
      <w:r w:rsidR="00597865">
        <w:t>.</w:t>
      </w:r>
    </w:p>
    <w:p w14:paraId="015F51FA" w14:textId="0D9CD550" w:rsidR="009B10A4" w:rsidRPr="009B10A4" w:rsidRDefault="00867965" w:rsidP="009B10A4">
      <w:pPr>
        <w:pStyle w:val="VDWCbody"/>
      </w:pPr>
      <w:r>
        <w:t>The Commission</w:t>
      </w:r>
      <w:r w:rsidR="009B10A4">
        <w:t xml:space="preserve"> </w:t>
      </w:r>
      <w:r w:rsidR="367CF27B">
        <w:t xml:space="preserve">and the Board </w:t>
      </w:r>
      <w:r w:rsidR="005A6392">
        <w:t>cannot</w:t>
      </w:r>
      <w:r w:rsidR="009B10A4">
        <w:t xml:space="preserve"> receive </w:t>
      </w:r>
      <w:r w:rsidR="005A6392">
        <w:t>public interest disclosures</w:t>
      </w:r>
      <w:r w:rsidR="009B10A4">
        <w:t>, so any disclosures must be made to IBAC.</w:t>
      </w:r>
    </w:p>
    <w:p w14:paraId="1B1B2B23" w14:textId="56DB47B3" w:rsidR="009B10A4" w:rsidRPr="009B10A4" w:rsidRDefault="009B10A4" w:rsidP="009B10A4">
      <w:pPr>
        <w:pStyle w:val="VDWCbody"/>
      </w:pPr>
      <w:r>
        <w:t xml:space="preserve">After a </w:t>
      </w:r>
      <w:r w:rsidR="001F78A3">
        <w:t xml:space="preserve">public interest disclosure </w:t>
      </w:r>
      <w:r>
        <w:t>is made</w:t>
      </w:r>
      <w:r w:rsidR="004B1AC1">
        <w:t>,</w:t>
      </w:r>
      <w:r>
        <w:t xml:space="preserve"> IBAC </w:t>
      </w:r>
      <w:r w:rsidRPr="009B10A4">
        <w:t xml:space="preserve">will assess the disclosure and determine whether the disclosure is a </w:t>
      </w:r>
      <w:r w:rsidR="005A6392">
        <w:t>p</w:t>
      </w:r>
      <w:r w:rsidRPr="009B10A4">
        <w:t>u</w:t>
      </w:r>
      <w:r>
        <w:t xml:space="preserve">blic </w:t>
      </w:r>
      <w:r w:rsidR="005A6392">
        <w:t>i</w:t>
      </w:r>
      <w:r>
        <w:t xml:space="preserve">nterest </w:t>
      </w:r>
      <w:r w:rsidR="005A6392">
        <w:t>c</w:t>
      </w:r>
      <w:r>
        <w:t xml:space="preserve">omplaint. </w:t>
      </w:r>
      <w:r w:rsidRPr="009B10A4">
        <w:t xml:space="preserve">IBAC will determine that the disclosure is a </w:t>
      </w:r>
      <w:r w:rsidR="005A6392">
        <w:t>public interest complaint</w:t>
      </w:r>
      <w:r w:rsidR="005A6392" w:rsidRPr="009B10A4">
        <w:t xml:space="preserve"> </w:t>
      </w:r>
      <w:r w:rsidRPr="009B10A4">
        <w:t xml:space="preserve">if it considers that it shows that a person, public officer or public body has engaged in 'improper conduct' or 'detrimental action'. This includes if someone is still engaging in the conduct or proposes to. A determination that a disclosure is a </w:t>
      </w:r>
      <w:r w:rsidR="005A6392">
        <w:t>public interest complaint</w:t>
      </w:r>
      <w:r w:rsidR="005A6392" w:rsidRPr="009B10A4">
        <w:t xml:space="preserve"> </w:t>
      </w:r>
      <w:r w:rsidRPr="009B10A4">
        <w:t>may lead to an investigation by IBAC (or the relevant investigative entity such as the Victorian Inspectorate), or other further action to address the complaint.</w:t>
      </w:r>
    </w:p>
    <w:p w14:paraId="141B3499" w14:textId="6F885190" w:rsidR="009B10A4" w:rsidRPr="00E202B6" w:rsidRDefault="009B10A4" w:rsidP="00CE4E2F">
      <w:pPr>
        <w:pStyle w:val="Heading2"/>
      </w:pPr>
      <w:r w:rsidRPr="00E202B6">
        <w:t xml:space="preserve">Improper </w:t>
      </w:r>
      <w:r w:rsidR="00E8368E" w:rsidRPr="00E202B6">
        <w:t>conduct</w:t>
      </w:r>
    </w:p>
    <w:p w14:paraId="74E21AAC" w14:textId="7542E389" w:rsidR="009B10A4" w:rsidRPr="00E8368E" w:rsidRDefault="009B10A4" w:rsidP="00E8368E">
      <w:pPr>
        <w:pStyle w:val="VDWCbody"/>
      </w:pPr>
      <w:r>
        <w:t>Improper conduct</w:t>
      </w:r>
      <w:r w:rsidR="006338A8">
        <w:t xml:space="preserve"> includes corrupt conduct, criminal offences and other conduct specified in the PID Act.</w:t>
      </w:r>
    </w:p>
    <w:p w14:paraId="28C642AD" w14:textId="77777777" w:rsidR="009B10A4" w:rsidRDefault="009B10A4" w:rsidP="00E8368E">
      <w:pPr>
        <w:pStyle w:val="VDWCbody"/>
      </w:pPr>
      <w:r>
        <w:t xml:space="preserve">Corrupt conduct (as defined in the </w:t>
      </w:r>
      <w:r w:rsidRPr="00E8368E">
        <w:rPr>
          <w:i/>
        </w:rPr>
        <w:t>Independent Broad-Based Anti-Corruption Commission Act 2011</w:t>
      </w:r>
      <w:r>
        <w:t xml:space="preserve"> (</w:t>
      </w:r>
      <w:r w:rsidRPr="00E8368E">
        <w:t>IBAC Act</w:t>
      </w:r>
      <w:r>
        <w:t>)) means conduct:</w:t>
      </w:r>
    </w:p>
    <w:p w14:paraId="58F8AACE" w14:textId="77777777" w:rsidR="009B10A4" w:rsidRDefault="009B10A4" w:rsidP="00E8368E">
      <w:pPr>
        <w:pStyle w:val="VDWCbullet1"/>
      </w:pPr>
      <w:r>
        <w:t xml:space="preserve">of any person that adversely affects the honest performance by a public officer or public body of his or her or its functions as a public officer or public body; or </w:t>
      </w:r>
    </w:p>
    <w:p w14:paraId="56BD975F" w14:textId="77777777" w:rsidR="009B10A4" w:rsidRDefault="009B10A4" w:rsidP="00E8368E">
      <w:pPr>
        <w:pStyle w:val="VDWCbullet1"/>
      </w:pPr>
      <w:r>
        <w:t xml:space="preserve">of a public officer or public body that constitutes or involves the dishonest performance of his or her or its functions as a public officer or public body; or </w:t>
      </w:r>
    </w:p>
    <w:p w14:paraId="4264FEFD" w14:textId="77777777" w:rsidR="009B10A4" w:rsidRDefault="009B10A4" w:rsidP="00E8368E">
      <w:pPr>
        <w:pStyle w:val="VDWCbullet1"/>
      </w:pPr>
      <w:r>
        <w:t xml:space="preserve">of a public officer or public body that constitutes or involves knowingly or recklessly breaching public trust; or </w:t>
      </w:r>
    </w:p>
    <w:p w14:paraId="379703D5" w14:textId="77777777" w:rsidR="009B10A4" w:rsidRDefault="009B10A4" w:rsidP="00E8368E">
      <w:pPr>
        <w:pStyle w:val="VDWCbullet1"/>
      </w:pPr>
      <w:r>
        <w:t>of a public officer or a public body that involves the misuse of information or material acquired in the course of the performance of his or her or its functions as a public officer or public body, whether or not for the benefit of the public officer or public body or any other person; or</w:t>
      </w:r>
    </w:p>
    <w:p w14:paraId="377AC6A4" w14:textId="77777777" w:rsidR="009B10A4" w:rsidRPr="00E8368E" w:rsidRDefault="009B10A4" w:rsidP="00E8368E">
      <w:pPr>
        <w:pStyle w:val="VDWCbullet1"/>
      </w:pPr>
      <w:r>
        <w:t>of a person (the first person) intended to adversely affect the effective performance or exercise by a public officer or public body of the functions or powers of the public officer or public body and result in the first person or an associate of the first person obtaining</w:t>
      </w:r>
    </w:p>
    <w:p w14:paraId="7C234742" w14:textId="77777777" w:rsidR="009B10A4" w:rsidRDefault="009B10A4" w:rsidP="00E8368E">
      <w:pPr>
        <w:pStyle w:val="VDWCbullet2"/>
      </w:pPr>
      <w:r>
        <w:t xml:space="preserve">a licence, permit, approval, authority or other entitlement under any Act or subordinate instrument; or </w:t>
      </w:r>
    </w:p>
    <w:p w14:paraId="7071AC54" w14:textId="77777777" w:rsidR="009B10A4" w:rsidRDefault="009B10A4" w:rsidP="00E8368E">
      <w:pPr>
        <w:pStyle w:val="VDWCbullet2"/>
      </w:pPr>
      <w:r>
        <w:t xml:space="preserve">an appointment to a statutory office or as a member of the board of any public body under any Act or subordinate instrument; or </w:t>
      </w:r>
    </w:p>
    <w:p w14:paraId="53ED0E5F" w14:textId="77777777" w:rsidR="009B10A4" w:rsidRDefault="009B10A4" w:rsidP="00E8368E">
      <w:pPr>
        <w:pStyle w:val="VDWCbullet2"/>
      </w:pPr>
      <w:r>
        <w:t xml:space="preserve">a financial benefit or real or personal property; or </w:t>
      </w:r>
    </w:p>
    <w:p w14:paraId="484D3617" w14:textId="3ADEFCE3" w:rsidR="009B10A4" w:rsidRDefault="009B10A4" w:rsidP="00E8368E">
      <w:pPr>
        <w:pStyle w:val="VDWCbullet2"/>
      </w:pPr>
      <w:r>
        <w:t>any other direct or indirec</w:t>
      </w:r>
      <w:r w:rsidR="00E8368E">
        <w:t xml:space="preserve">t monetary or proprietary gain - </w:t>
      </w:r>
      <w:r>
        <w:t>that they would not have otherwise obtained; or</w:t>
      </w:r>
    </w:p>
    <w:p w14:paraId="5520F98E" w14:textId="2D32AAD7" w:rsidR="009B10A4" w:rsidRDefault="009B10A4" w:rsidP="00E8368E">
      <w:pPr>
        <w:pStyle w:val="VDWCbullet1"/>
      </w:pPr>
      <w:r>
        <w:lastRenderedPageBreak/>
        <w:t xml:space="preserve">that could constitute a conspiracy or an attempt to engage in any conduct referred to in (a)-(e) being conduct that would </w:t>
      </w:r>
      <w:r w:rsidR="00867965">
        <w:t xml:space="preserve">constitute a relevant offence. </w:t>
      </w:r>
      <w:r>
        <w:t xml:space="preserve">A relevant office means an indictable offence against an Act or common law offences of perverting or attempting to pervert the course of justice, bribery of a public official and misconduct in public office. </w:t>
      </w:r>
    </w:p>
    <w:p w14:paraId="47F1FA12" w14:textId="50B78715" w:rsidR="00E8368E" w:rsidRPr="00E8368E" w:rsidRDefault="006338A8" w:rsidP="00CE4E2F">
      <w:pPr>
        <w:pStyle w:val="VDWCbodyafterbullets"/>
        <w:keepNext/>
      </w:pPr>
      <w:r>
        <w:t>Improper conduct also includes c</w:t>
      </w:r>
      <w:r w:rsidR="00E8368E">
        <w:t>onduct of a public officer or public body, in their capacity as a public officer or a public body, that constitutes:</w:t>
      </w:r>
    </w:p>
    <w:p w14:paraId="0F453497" w14:textId="5B689EBA" w:rsidR="00E8368E" w:rsidRDefault="005A6392" w:rsidP="00E8368E">
      <w:pPr>
        <w:pStyle w:val="VDWCbullet1"/>
      </w:pPr>
      <w:r>
        <w:t>a</w:t>
      </w:r>
      <w:r w:rsidR="00E8368E">
        <w:t xml:space="preserve"> criminal offence</w:t>
      </w:r>
    </w:p>
    <w:p w14:paraId="19889C8D" w14:textId="604E4217" w:rsidR="00E8368E" w:rsidRPr="00E8368E" w:rsidRDefault="005A6392" w:rsidP="00232BAB">
      <w:pPr>
        <w:pStyle w:val="VDWCbullet1"/>
      </w:pPr>
      <w:r>
        <w:t>s</w:t>
      </w:r>
      <w:r w:rsidR="00E8368E">
        <w:t xml:space="preserve">erious professional misconduct - not defined in the PID Act, </w:t>
      </w:r>
      <w:hyperlink r:id="rId15" w:history="1">
        <w:r w:rsidR="00E8368E">
          <w:rPr>
            <w:rStyle w:val="Hyperlink"/>
          </w:rPr>
          <w:t>IBAC guidance</w:t>
        </w:r>
      </w:hyperlink>
      <w:r w:rsidR="00E8368E">
        <w:t xml:space="preserve"> provides that this is conduct which constitutes a serious breach of an established professional code of conduct and/or other serious departures from the person’s professional responsibilities</w:t>
      </w:r>
    </w:p>
    <w:p w14:paraId="5923C7D9" w14:textId="376A9A88" w:rsidR="00FD2A74" w:rsidRPr="00FD2A74" w:rsidRDefault="005A6392" w:rsidP="00FD2A74">
      <w:pPr>
        <w:pStyle w:val="VDWCbullet1"/>
      </w:pPr>
      <w:r>
        <w:t>d</w:t>
      </w:r>
      <w:r w:rsidR="00FD2A74">
        <w:t>ishonest performance of public functions</w:t>
      </w:r>
    </w:p>
    <w:p w14:paraId="4CB6B463" w14:textId="15329859" w:rsidR="00FD2A74" w:rsidRDefault="005A6392" w:rsidP="00FD2A74">
      <w:pPr>
        <w:pStyle w:val="VDWCbullet1"/>
      </w:pPr>
      <w:r>
        <w:t>i</w:t>
      </w:r>
      <w:r w:rsidR="00FD2A74">
        <w:t>ntentional or reckless breach of public trust</w:t>
      </w:r>
    </w:p>
    <w:p w14:paraId="18330AAA" w14:textId="1D1F1A75" w:rsidR="00FD2A74" w:rsidRDefault="005A6392" w:rsidP="00FD2A74">
      <w:pPr>
        <w:pStyle w:val="VDWCbullet1"/>
      </w:pPr>
      <w:r>
        <w:t>i</w:t>
      </w:r>
      <w:r w:rsidR="00FD2A74">
        <w:t>ntentional or reckless misuse of information</w:t>
      </w:r>
    </w:p>
    <w:p w14:paraId="792CE748" w14:textId="17C51F95" w:rsidR="00FD2A74" w:rsidRDefault="005A6392" w:rsidP="00FD2A74">
      <w:pPr>
        <w:pStyle w:val="VDWCbullet1"/>
      </w:pPr>
      <w:r>
        <w:t>s</w:t>
      </w:r>
      <w:r w:rsidR="00FD2A74">
        <w:t>ubstantial mismanagement of public resources</w:t>
      </w:r>
    </w:p>
    <w:p w14:paraId="4AB1B8F4" w14:textId="60085A8A" w:rsidR="00FD2A74" w:rsidRDefault="005A6392" w:rsidP="00FD2A74">
      <w:pPr>
        <w:pStyle w:val="VDWCbullet1"/>
      </w:pPr>
      <w:r>
        <w:t>s</w:t>
      </w:r>
      <w:r w:rsidR="00FD2A74">
        <w:t>ubstantial risk to health or safety of a person</w:t>
      </w:r>
    </w:p>
    <w:p w14:paraId="1F1155F7" w14:textId="53BE4D7E" w:rsidR="00FD2A74" w:rsidRDefault="005A6392" w:rsidP="00FD2A74">
      <w:pPr>
        <w:pStyle w:val="VDWCbullet1"/>
      </w:pPr>
      <w:r>
        <w:t>s</w:t>
      </w:r>
      <w:r w:rsidR="00FD2A74">
        <w:t>ubstantial risk to the environment</w:t>
      </w:r>
      <w:r w:rsidR="006338A8">
        <w:t xml:space="preserve">. </w:t>
      </w:r>
    </w:p>
    <w:p w14:paraId="5C6504CB" w14:textId="77777777" w:rsidR="006338A8" w:rsidRDefault="006338A8" w:rsidP="00CE4E2F">
      <w:pPr>
        <w:pStyle w:val="VDWCbodyafterbullets"/>
      </w:pPr>
      <w:r>
        <w:t>Improper conduct also includes:</w:t>
      </w:r>
    </w:p>
    <w:p w14:paraId="2BB00D3D" w14:textId="66E73F03" w:rsidR="006338A8" w:rsidRDefault="006338A8" w:rsidP="006338A8">
      <w:pPr>
        <w:pStyle w:val="VDWCbullet1"/>
      </w:pPr>
      <w:r>
        <w:t>c</w:t>
      </w:r>
      <w:r w:rsidR="00FD2A74">
        <w:t>onduct of any person that adversely affects a public officer's honest performance of their functions</w:t>
      </w:r>
    </w:p>
    <w:p w14:paraId="2B3BBE98" w14:textId="1610CBA8" w:rsidR="006338A8" w:rsidRPr="00FD2A74" w:rsidRDefault="006338A8" w:rsidP="00CE4E2F">
      <w:pPr>
        <w:pStyle w:val="VDWCbullet1"/>
      </w:pPr>
      <w:r>
        <w:t>c</w:t>
      </w:r>
      <w:r w:rsidR="00FD2A74">
        <w:t>onduct of any person that adversely affects or is intended to adversely affect a public officer's effective performance of their functions, which results in a benefit to that person</w:t>
      </w:r>
      <w:r>
        <w:t xml:space="preserve"> and </w:t>
      </w:r>
    </w:p>
    <w:p w14:paraId="643FC3F5" w14:textId="29D51574" w:rsidR="00FD2A74" w:rsidRPr="00FD2A74" w:rsidRDefault="006338A8" w:rsidP="00CE4E2F">
      <w:pPr>
        <w:pStyle w:val="VDWCbullet1"/>
      </w:pPr>
      <w:r>
        <w:t>a</w:t>
      </w:r>
      <w:r w:rsidR="00FD2A74" w:rsidRPr="00FD2A74">
        <w:t xml:space="preserve"> conspiracy or attempt to engage in any of the above conduct.</w:t>
      </w:r>
    </w:p>
    <w:p w14:paraId="38FA2077" w14:textId="0E76C109" w:rsidR="00FD2A74" w:rsidRDefault="00FD2A74" w:rsidP="00CE4E2F">
      <w:pPr>
        <w:pStyle w:val="VDWCbodyafterbullets"/>
      </w:pPr>
      <w:r w:rsidRPr="00FD2A74">
        <w:t>C</w:t>
      </w:r>
      <w:r w:rsidR="00867965">
        <w:t>ommission</w:t>
      </w:r>
      <w:r w:rsidRPr="00FD2A74">
        <w:t xml:space="preserve"> </w:t>
      </w:r>
      <w:r w:rsidR="00867965">
        <w:t xml:space="preserve">employees </w:t>
      </w:r>
      <w:r w:rsidR="006338A8">
        <w:t xml:space="preserve">and Board members </w:t>
      </w:r>
      <w:r w:rsidR="00867965">
        <w:t>are public officers.</w:t>
      </w:r>
    </w:p>
    <w:p w14:paraId="6C6A98FE" w14:textId="3445000A" w:rsidR="00FD2A74" w:rsidRDefault="00FD2A74" w:rsidP="00FD2A74">
      <w:pPr>
        <w:pStyle w:val="VDWCbody"/>
      </w:pPr>
      <w:r w:rsidRPr="00FD2A74">
        <w:t>Trivial co</w:t>
      </w:r>
      <w:r w:rsidR="00867965">
        <w:t xml:space="preserve">nduct is not improper conduct. </w:t>
      </w:r>
      <w:r w:rsidRPr="00FD2A74">
        <w:t>The PID Act does</w:t>
      </w:r>
      <w:r w:rsidR="00867965">
        <w:t xml:space="preserve"> not define trivial conduct. </w:t>
      </w:r>
      <w:r w:rsidR="00964FB5">
        <w:t>IBAC will determine w</w:t>
      </w:r>
      <w:r w:rsidRPr="00FD2A74">
        <w:t>hether conduct is trivial</w:t>
      </w:r>
      <w:r w:rsidR="00964FB5">
        <w:t xml:space="preserve"> conduct</w:t>
      </w:r>
      <w:r w:rsidRPr="00FD2A74">
        <w:t>.</w:t>
      </w:r>
    </w:p>
    <w:p w14:paraId="33C7B725" w14:textId="77777777" w:rsidR="00FD2A74" w:rsidRPr="00E202B6" w:rsidRDefault="00FD2A74" w:rsidP="00CE4E2F">
      <w:pPr>
        <w:pStyle w:val="Heading2"/>
      </w:pPr>
      <w:r w:rsidRPr="00E202B6">
        <w:t>Detrimental action</w:t>
      </w:r>
    </w:p>
    <w:p w14:paraId="19304AA7" w14:textId="2E8268EF" w:rsidR="00FD2A74" w:rsidRPr="00FD2A74" w:rsidRDefault="00FD2A74" w:rsidP="00FD2A74">
      <w:pPr>
        <w:pStyle w:val="VDWCbody"/>
      </w:pPr>
      <w:r>
        <w:t xml:space="preserve">A person takes detrimental action against a person in reprisal for a </w:t>
      </w:r>
      <w:r w:rsidR="006338A8">
        <w:t xml:space="preserve">public interest disclosure </w:t>
      </w:r>
      <w:r>
        <w:t>if:</w:t>
      </w:r>
    </w:p>
    <w:p w14:paraId="19463EC1" w14:textId="6EF2D61E" w:rsidR="00FD2A74" w:rsidRPr="00FD2A74" w:rsidRDefault="00FD2A74" w:rsidP="00FD2A74">
      <w:pPr>
        <w:pStyle w:val="VDWCbullet1"/>
      </w:pPr>
      <w:r>
        <w:t>the person takes or threatens detrimental action against the other person because, or in the belief that:</w:t>
      </w:r>
    </w:p>
    <w:p w14:paraId="36E22105" w14:textId="58B47EE0" w:rsidR="00FD2A74" w:rsidRDefault="00FD2A74" w:rsidP="00FD2A74">
      <w:pPr>
        <w:pStyle w:val="VDWCbullet2"/>
      </w:pPr>
      <w:r>
        <w:t>the other person or anyone else has made, or intends to make, the disclosure or</w:t>
      </w:r>
    </w:p>
    <w:p w14:paraId="1C198B6B" w14:textId="3E009633" w:rsidR="00FD2A74" w:rsidRDefault="00FD2A74" w:rsidP="00FD2A74">
      <w:pPr>
        <w:pStyle w:val="VDWCbullet2"/>
      </w:pPr>
      <w:r>
        <w:t>the other person or anyone else has cooperated, or intends to cooperate, with an investigation of the disclosure or</w:t>
      </w:r>
    </w:p>
    <w:p w14:paraId="1B06501B" w14:textId="59C934DA" w:rsidR="00FD2A74" w:rsidRDefault="00FD2A74" w:rsidP="00FD2A74">
      <w:pPr>
        <w:pStyle w:val="VDWCbullet1"/>
      </w:pPr>
      <w:r>
        <w:t>for either of those reasons, the person incites or permits someone else to take or threaten detrimental action against the other person.</w:t>
      </w:r>
    </w:p>
    <w:p w14:paraId="060031EB" w14:textId="77777777" w:rsidR="00FD2A74" w:rsidRDefault="00FD2A74" w:rsidP="00CE4E2F">
      <w:pPr>
        <w:pStyle w:val="VDWCbodyafterbullets"/>
      </w:pPr>
      <w:r>
        <w:t>Detrimental action is defined in the PID Act. Some examples of detrimental action include:</w:t>
      </w:r>
    </w:p>
    <w:p w14:paraId="5087C482" w14:textId="3002F4D2" w:rsidR="00FD2A74" w:rsidRDefault="00FD2A74" w:rsidP="00FD2A74">
      <w:pPr>
        <w:pStyle w:val="VDWCbullet1"/>
      </w:pPr>
      <w:r>
        <w:t>threat</w:t>
      </w:r>
      <w:r w:rsidR="00964FB5">
        <w:t>ening</w:t>
      </w:r>
      <w:r>
        <w:t xml:space="preserve"> safety or property of a discloser or a discloser's family or friends</w:t>
      </w:r>
    </w:p>
    <w:p w14:paraId="038A9BA7" w14:textId="116914E5" w:rsidR="00FD2A74" w:rsidRDefault="00FD2A74" w:rsidP="00FD2A74">
      <w:pPr>
        <w:pStyle w:val="VDWCbullet1"/>
      </w:pPr>
      <w:r>
        <w:t>demotin</w:t>
      </w:r>
      <w:r w:rsidR="00964FB5">
        <w:t>g</w:t>
      </w:r>
      <w:r>
        <w:t>, transfer</w:t>
      </w:r>
      <w:r w:rsidR="00964FB5">
        <w:t>ring</w:t>
      </w:r>
      <w:r>
        <w:t>, isolati</w:t>
      </w:r>
      <w:r w:rsidR="00964FB5">
        <w:t>ng</w:t>
      </w:r>
      <w:r>
        <w:t xml:space="preserve"> or chang</w:t>
      </w:r>
      <w:r w:rsidR="00964FB5">
        <w:t>ing</w:t>
      </w:r>
      <w:r>
        <w:t xml:space="preserve"> in duties of a discloser due to their having made a disclosure</w:t>
      </w:r>
    </w:p>
    <w:p w14:paraId="778202C6" w14:textId="77777777" w:rsidR="00FD2A74" w:rsidRDefault="00FD2A74" w:rsidP="00FD2A74">
      <w:pPr>
        <w:pStyle w:val="VDWCbullet1"/>
      </w:pPr>
      <w:r>
        <w:t>discriminating or disadvantaging a discloser in their career, profession, employment, trade or business</w:t>
      </w:r>
    </w:p>
    <w:p w14:paraId="51B14D1B" w14:textId="77777777" w:rsidR="00FD2A74" w:rsidRDefault="00FD2A74" w:rsidP="00FD2A74">
      <w:pPr>
        <w:pStyle w:val="VDWCbullet1"/>
      </w:pPr>
      <w:r>
        <w:t>discriminating against the discloser, their family, or associates, in applications for promotions, jobs, permits or tenders</w:t>
      </w:r>
    </w:p>
    <w:p w14:paraId="19E7E34C" w14:textId="401102FC" w:rsidR="00FD2A74" w:rsidRDefault="00964FB5" w:rsidP="00FD2A74">
      <w:pPr>
        <w:pStyle w:val="VDWCbullet1"/>
      </w:pPr>
      <w:r>
        <w:t xml:space="preserve">taking </w:t>
      </w:r>
      <w:r w:rsidR="00FD2A74">
        <w:t xml:space="preserve">other actions causing injury, loss or damage. </w:t>
      </w:r>
    </w:p>
    <w:p w14:paraId="68D819A0" w14:textId="5301C460" w:rsidR="00FD2A74" w:rsidRDefault="00FD2A74" w:rsidP="00CE4E2F">
      <w:pPr>
        <w:pStyle w:val="VDWCbodyafterbullets"/>
      </w:pPr>
      <w:r w:rsidRPr="00FD2A74">
        <w:t>Taking management action against a person who has made a disclosure is not detrimental action so long as the reason for the action is not the making of the disclosure.</w:t>
      </w:r>
    </w:p>
    <w:p w14:paraId="05D779DC" w14:textId="76301450" w:rsidR="00FD2A74" w:rsidRDefault="00FD2A74" w:rsidP="00FD2A74">
      <w:pPr>
        <w:pStyle w:val="VDWCbody"/>
      </w:pPr>
      <w:r>
        <w:t>It is an offence, punishable by fine or imprisonment, to take detrimental action against anothe</w:t>
      </w:r>
      <w:r w:rsidR="00867965">
        <w:t xml:space="preserve">r person in reprisal for a </w:t>
      </w:r>
      <w:r w:rsidR="006338A8">
        <w:t>public interest disclosure</w:t>
      </w:r>
      <w:r w:rsidR="00867965">
        <w:t>.</w:t>
      </w:r>
      <w:r>
        <w:t xml:space="preserve"> Detrimental action in reprisal for a disclosure can</w:t>
      </w:r>
      <w:r w:rsidR="00867965">
        <w:t xml:space="preserve"> be grounds for a further </w:t>
      </w:r>
      <w:r w:rsidR="006338A8">
        <w:t xml:space="preserve">public </w:t>
      </w:r>
      <w:r w:rsidR="006338A8">
        <w:lastRenderedPageBreak/>
        <w:t>interest disclosure</w:t>
      </w:r>
      <w:r w:rsidR="00867965">
        <w:t xml:space="preserve">. </w:t>
      </w:r>
      <w:r>
        <w:t xml:space="preserve">Where the detrimental action is of a serious nature likely to amount to a criminal offence, </w:t>
      </w:r>
      <w:r w:rsidR="00867965">
        <w:t xml:space="preserve">the </w:t>
      </w:r>
      <w:r w:rsidR="00807D58">
        <w:t xml:space="preserve">matter </w:t>
      </w:r>
      <w:r w:rsidR="009D0356">
        <w:t>will</w:t>
      </w:r>
      <w:r w:rsidR="00807D58">
        <w:t xml:space="preserve"> </w:t>
      </w:r>
      <w:r w:rsidR="00814FBE">
        <w:t xml:space="preserve">be </w:t>
      </w:r>
      <w:r w:rsidR="00807D58">
        <w:t xml:space="preserve">reported </w:t>
      </w:r>
      <w:r>
        <w:t>to the police or IBAC.</w:t>
      </w:r>
    </w:p>
    <w:p w14:paraId="2F3B0919" w14:textId="7C855183" w:rsidR="00FD2A74" w:rsidRPr="00FD2A74" w:rsidRDefault="00FD2A74" w:rsidP="00CE4E2F">
      <w:pPr>
        <w:pStyle w:val="VDWCbody"/>
        <w:keepNext/>
      </w:pPr>
      <w:r w:rsidRPr="00FD2A74">
        <w:t>A discloser may:</w:t>
      </w:r>
    </w:p>
    <w:p w14:paraId="3B51C066" w14:textId="4D13650D" w:rsidR="00FD2A74" w:rsidRDefault="00FD2A74" w:rsidP="00FD2A74">
      <w:pPr>
        <w:pStyle w:val="VDWCbullet1"/>
      </w:pPr>
      <w:r>
        <w:t xml:space="preserve">take civil action for damages against someone who takes detrimental action against them (including </w:t>
      </w:r>
      <w:r w:rsidR="00867965">
        <w:t xml:space="preserve">the </w:t>
      </w:r>
      <w:r>
        <w:t>C</w:t>
      </w:r>
      <w:r w:rsidR="00867965">
        <w:t>ommission</w:t>
      </w:r>
      <w:r w:rsidR="25B9CE11">
        <w:t xml:space="preserve"> or Board</w:t>
      </w:r>
      <w:r>
        <w:t xml:space="preserve">, if the person was acting in the course of their employment </w:t>
      </w:r>
      <w:r w:rsidR="4C11CEA0">
        <w:t xml:space="preserve">or engagement </w:t>
      </w:r>
      <w:r>
        <w:t xml:space="preserve">with </w:t>
      </w:r>
      <w:r w:rsidR="00867965">
        <w:t xml:space="preserve">the </w:t>
      </w:r>
      <w:r>
        <w:t>C</w:t>
      </w:r>
      <w:r w:rsidR="00867965">
        <w:t>ommission</w:t>
      </w:r>
      <w:r w:rsidR="1D9E35F6">
        <w:t xml:space="preserve"> or Board</w:t>
      </w:r>
      <w:r>
        <w:t xml:space="preserve">, or as </w:t>
      </w:r>
      <w:r w:rsidR="00867965">
        <w:t xml:space="preserve">the </w:t>
      </w:r>
      <w:r>
        <w:t>C</w:t>
      </w:r>
      <w:r w:rsidR="00867965">
        <w:t>ommission</w:t>
      </w:r>
      <w:r w:rsidR="39BFDF05">
        <w:t xml:space="preserve"> or Board</w:t>
      </w:r>
      <w:r>
        <w:t>'s agent)</w:t>
      </w:r>
    </w:p>
    <w:p w14:paraId="16FD80A4" w14:textId="51609B33" w:rsidR="00FD2A74" w:rsidRDefault="00FD2A74" w:rsidP="00FD2A74">
      <w:pPr>
        <w:pStyle w:val="VDWCbullet1"/>
      </w:pPr>
      <w:r>
        <w:t xml:space="preserve">seek relief from a court to prevent detrimental action from being taken. </w:t>
      </w:r>
    </w:p>
    <w:p w14:paraId="022ECF05" w14:textId="7887D9FB" w:rsidR="002A0A74" w:rsidRDefault="002A0A74" w:rsidP="002A0A74">
      <w:pPr>
        <w:pStyle w:val="Heading1"/>
      </w:pPr>
      <w:r w:rsidRPr="002A0A74">
        <w:t xml:space="preserve">Protections for making a </w:t>
      </w:r>
      <w:r w:rsidR="00484F47">
        <w:t>public interest disclosure</w:t>
      </w:r>
    </w:p>
    <w:p w14:paraId="08842EEB" w14:textId="77777777" w:rsidR="002A0A74" w:rsidRPr="00E202B6" w:rsidRDefault="002A0A74" w:rsidP="00CE4E2F">
      <w:pPr>
        <w:pStyle w:val="Heading2"/>
      </w:pPr>
      <w:r w:rsidRPr="00E202B6">
        <w:t>Protections for a discloser</w:t>
      </w:r>
    </w:p>
    <w:p w14:paraId="71B147AB" w14:textId="458B3B4D" w:rsidR="002A0A74" w:rsidRDefault="002A0A74" w:rsidP="002A0A74">
      <w:pPr>
        <w:pStyle w:val="VDWCbody"/>
      </w:pPr>
      <w:r>
        <w:t>The PID Act provides the following protections for disclosers:</w:t>
      </w:r>
    </w:p>
    <w:p w14:paraId="391754D8" w14:textId="0CBB8E57" w:rsidR="002A0A74" w:rsidRDefault="002A0A74" w:rsidP="002A0A74">
      <w:pPr>
        <w:pStyle w:val="VDWCbullet1"/>
      </w:pPr>
      <w:r>
        <w:t>immunity from civil or criminal liability for making disclosure (including in proceedings for defamation) or any liability arising by way of administrative process (such as disciplinary action)</w:t>
      </w:r>
    </w:p>
    <w:p w14:paraId="3BDC9A11" w14:textId="26710C4F" w:rsidR="009B10A4" w:rsidRDefault="002A0A74" w:rsidP="002A0A74">
      <w:pPr>
        <w:pStyle w:val="VDWCbullet1"/>
      </w:pPr>
      <w:r>
        <w:t xml:space="preserve">someone who makes a </w:t>
      </w:r>
      <w:r w:rsidR="006338A8">
        <w:t xml:space="preserve">public interest disclosure </w:t>
      </w:r>
      <w:r>
        <w:t xml:space="preserve">does not, by making a </w:t>
      </w:r>
      <w:r w:rsidR="006338A8">
        <w:t>disclosure</w:t>
      </w:r>
      <w:r>
        <w:t>, breach any other confidentiality obligations that might otherwise be thought to apply.</w:t>
      </w:r>
    </w:p>
    <w:p w14:paraId="5F4CCDAA" w14:textId="2458A989" w:rsidR="002A0A74" w:rsidRPr="002A0A74" w:rsidRDefault="002A0A74" w:rsidP="00CE4E2F">
      <w:pPr>
        <w:pStyle w:val="VDWCbodyafterbullets"/>
      </w:pPr>
      <w:r w:rsidRPr="002A0A74">
        <w:t>A disclosure that is made to a person or body who cannot receive disclosures under the PID Act (</w:t>
      </w:r>
      <w:r w:rsidR="006338A8">
        <w:t>for example,</w:t>
      </w:r>
      <w:r w:rsidRPr="002A0A74">
        <w:t xml:space="preserve"> a journalist or politician) will not attract the </w:t>
      </w:r>
      <w:r>
        <w:t xml:space="preserve">protections under the PID Act. </w:t>
      </w:r>
      <w:r w:rsidRPr="002A0A74">
        <w:t xml:space="preserve">There are some exceptions, in the limited circumstances specified in the PID Act, if a </w:t>
      </w:r>
      <w:r w:rsidR="006338A8">
        <w:t>public interest disclosure</w:t>
      </w:r>
      <w:r w:rsidR="006338A8" w:rsidRPr="002A0A74">
        <w:t xml:space="preserve"> </w:t>
      </w:r>
      <w:r w:rsidRPr="002A0A74">
        <w:t xml:space="preserve">has not been adequately acted on </w:t>
      </w:r>
      <w:r w:rsidR="006338A8">
        <w:t>–</w:t>
      </w:r>
      <w:r w:rsidRPr="002A0A74">
        <w:t xml:space="preserve"> called external di</w:t>
      </w:r>
      <w:r w:rsidR="00E301E0">
        <w:t>sclosures.</w:t>
      </w:r>
      <w:r w:rsidRPr="002A0A74">
        <w:t xml:space="preserve"> More information about external disclosures can</w:t>
      </w:r>
      <w:r w:rsidR="00867965">
        <w:t xml:space="preserve"> be found on the IBAC website.</w:t>
      </w:r>
    </w:p>
    <w:p w14:paraId="2E386A05" w14:textId="77777777" w:rsidR="00C52462" w:rsidRDefault="00E301E0" w:rsidP="00E301E0">
      <w:pPr>
        <w:pStyle w:val="VDWCbody"/>
      </w:pPr>
      <w:r w:rsidRPr="00E301E0">
        <w:t>The protections under the PID Act apply from the time of the disclosure, even if IBAC determi</w:t>
      </w:r>
      <w:r>
        <w:t xml:space="preserve">nes that the </w:t>
      </w:r>
      <w:r w:rsidR="006338A8">
        <w:t xml:space="preserve">disclosure </w:t>
      </w:r>
      <w:r>
        <w:t xml:space="preserve">is not a </w:t>
      </w:r>
      <w:r w:rsidR="005A6392">
        <w:t>public interest complaint</w:t>
      </w:r>
      <w:r>
        <w:t xml:space="preserve">. </w:t>
      </w:r>
      <w:r w:rsidRPr="00E301E0">
        <w:t xml:space="preserve">The protections also apply to further information provided to IBAC (or other </w:t>
      </w:r>
      <w:r>
        <w:t>relevant investigative entity).</w:t>
      </w:r>
      <w:r w:rsidRPr="00E301E0">
        <w:t xml:space="preserve"> </w:t>
      </w:r>
    </w:p>
    <w:p w14:paraId="49C948E1" w14:textId="2D4112F4" w:rsidR="002A0A74" w:rsidRDefault="00E301E0" w:rsidP="00E301E0">
      <w:pPr>
        <w:pStyle w:val="VDWCbody"/>
      </w:pPr>
      <w:r w:rsidRPr="00E301E0">
        <w:t>It is also an offence to disclose the content of a disclosure, or the identity of a person who has made a disclosure as confidentiality obligations under the PID Act apply (more</w:t>
      </w:r>
      <w:r w:rsidR="00715BC3">
        <w:t xml:space="preserve"> at </w:t>
      </w:r>
      <w:r w:rsidR="00715BC3">
        <w:fldChar w:fldCharType="begin"/>
      </w:r>
      <w:r w:rsidR="00715BC3">
        <w:instrText xml:space="preserve"> REF _Ref73958702 \h </w:instrText>
      </w:r>
      <w:r w:rsidR="00715BC3">
        <w:fldChar w:fldCharType="separate"/>
      </w:r>
      <w:r w:rsidR="00715BC3" w:rsidRPr="00E202B6">
        <w:t>Maintaining confidentiality</w:t>
      </w:r>
      <w:r w:rsidR="00715BC3">
        <w:fldChar w:fldCharType="end"/>
      </w:r>
      <w:r w:rsidRPr="00E301E0">
        <w:t xml:space="preserve"> below).</w:t>
      </w:r>
    </w:p>
    <w:p w14:paraId="334867B1" w14:textId="3E23D21D" w:rsidR="00E301E0" w:rsidRDefault="00E301E0" w:rsidP="00E301E0">
      <w:pPr>
        <w:pStyle w:val="VDWCbody"/>
      </w:pPr>
      <w:r w:rsidRPr="00E301E0">
        <w:t xml:space="preserve">A discloser is </w:t>
      </w:r>
      <w:r w:rsidRPr="00E301E0">
        <w:rPr>
          <w:b/>
        </w:rPr>
        <w:t>not</w:t>
      </w:r>
      <w:r w:rsidRPr="00E301E0">
        <w:t xml:space="preserve"> protected under the PID Act if they provide false or misleading information relating to a </w:t>
      </w:r>
      <w:r w:rsidR="005A6392">
        <w:t>disclosure</w:t>
      </w:r>
      <w:r w:rsidRPr="00E301E0">
        <w:t xml:space="preserve">, falsely claim that a matter is the subject of a </w:t>
      </w:r>
      <w:r w:rsidR="005A6392">
        <w:t>public interest disclosure</w:t>
      </w:r>
      <w:r w:rsidRPr="00E301E0">
        <w:t>, or falsely claim that a matter is the subject of a disclosure that IBAC has determ</w:t>
      </w:r>
      <w:r>
        <w:t xml:space="preserve">ined to be a </w:t>
      </w:r>
      <w:r w:rsidR="005A6392">
        <w:t>public interest complaint</w:t>
      </w:r>
      <w:r>
        <w:t>.</w:t>
      </w:r>
      <w:r w:rsidRPr="00E301E0">
        <w:t xml:space="preserve"> A discloser is also not protected from legitimate management action, or the consequences of their own conduct (even if this was</w:t>
      </w:r>
      <w:r>
        <w:t xml:space="preserve"> disclosed as part of the </w:t>
      </w:r>
      <w:r w:rsidR="005A6392">
        <w:t>public interest disclosure</w:t>
      </w:r>
      <w:r>
        <w:t>).</w:t>
      </w:r>
    </w:p>
    <w:p w14:paraId="1382798B" w14:textId="6E347D99" w:rsidR="00E301E0" w:rsidRDefault="00E301E0" w:rsidP="00E301E0">
      <w:pPr>
        <w:pStyle w:val="VDWCbody"/>
      </w:pPr>
      <w:r w:rsidRPr="00E301E0">
        <w:t>Under the PID Act, a person's liability for their own conduct is not affected by having disclosed that conduct under the Act: therefore, a discloser is not protected from reasonable consequences flowing from their i</w:t>
      </w:r>
      <w:r>
        <w:t>nvolvement in improper conduct.</w:t>
      </w:r>
      <w:r w:rsidRPr="00E301E0">
        <w:t xml:space="preserve"> In some cases, admission to conduct may be a mitigating factor when considering disciplinary or other action. </w:t>
      </w:r>
    </w:p>
    <w:p w14:paraId="48DACB23" w14:textId="77777777" w:rsidR="00E301E0" w:rsidRPr="00E202B6" w:rsidRDefault="00E301E0" w:rsidP="00CE4E2F">
      <w:pPr>
        <w:pStyle w:val="Heading2"/>
      </w:pPr>
      <w:bookmarkStart w:id="0" w:name="_Ref73958702"/>
      <w:r w:rsidRPr="00E202B6">
        <w:t>Maintaining confidentiality</w:t>
      </w:r>
      <w:bookmarkEnd w:id="0"/>
      <w:r w:rsidRPr="00E202B6">
        <w:t xml:space="preserve"> </w:t>
      </w:r>
    </w:p>
    <w:p w14:paraId="5452F5D0" w14:textId="03063EAF" w:rsidR="00E301E0" w:rsidRDefault="00E301E0" w:rsidP="00E301E0">
      <w:pPr>
        <w:pStyle w:val="VDWCbody"/>
      </w:pPr>
      <w:r>
        <w:t>The PID Act prohibits including any details in any report or recommendation that is likely to lead to identif</w:t>
      </w:r>
      <w:r w:rsidR="00964FB5">
        <w:t>ying</w:t>
      </w:r>
      <w:r>
        <w:t xml:space="preserve"> a discloser, and also prohibits identif</w:t>
      </w:r>
      <w:r w:rsidR="00964FB5">
        <w:t>ying</w:t>
      </w:r>
      <w:r>
        <w:t xml:space="preserve"> the person the subject of a disclosure in an annual report or any reports to Parliament.</w:t>
      </w:r>
    </w:p>
    <w:p w14:paraId="37BDB813" w14:textId="60C5A0B5" w:rsidR="00E301E0" w:rsidRDefault="00964FB5" w:rsidP="00E301E0">
      <w:pPr>
        <w:pStyle w:val="VDWCbody"/>
      </w:pPr>
      <w:r>
        <w:t>C</w:t>
      </w:r>
      <w:r w:rsidR="00E301E0">
        <w:t xml:space="preserve">onfidentiality requirements </w:t>
      </w:r>
      <w:r>
        <w:t>have three elements</w:t>
      </w:r>
      <w:r w:rsidR="00E301E0">
        <w:t>:</w:t>
      </w:r>
    </w:p>
    <w:p w14:paraId="044B8E7E" w14:textId="21105E9F" w:rsidR="00E301E0" w:rsidRDefault="00E301E0" w:rsidP="00E301E0">
      <w:pPr>
        <w:pStyle w:val="VDWCbullet1"/>
      </w:pPr>
      <w:r>
        <w:t xml:space="preserve">An investigative entity investigating a </w:t>
      </w:r>
      <w:r w:rsidR="005A6392">
        <w:t xml:space="preserve">public interest complaint </w:t>
      </w:r>
      <w:r>
        <w:t xml:space="preserve">may disclose information where this is necessary to perform its investigative functions. </w:t>
      </w:r>
    </w:p>
    <w:p w14:paraId="61A6263A" w14:textId="3BDE8801" w:rsidR="00E301E0" w:rsidRDefault="00E301E0" w:rsidP="00E301E0">
      <w:pPr>
        <w:pStyle w:val="VDWCbullet1"/>
      </w:pPr>
      <w:r>
        <w:t xml:space="preserve">Disclosers may always seek advice and support from specified categories of persons without seeking permission. This enables a discloser to provide information about an assessable disclosure (content or information about the content) to a trade union, employee assistance program, the Victorian WorkCover Authority or for the purposes of an application to the Fair Work Commission. </w:t>
      </w:r>
    </w:p>
    <w:p w14:paraId="2D4539B2" w14:textId="62615B0A" w:rsidR="00E301E0" w:rsidRDefault="00E301E0" w:rsidP="00232BAB">
      <w:pPr>
        <w:pStyle w:val="VDWCbullet1"/>
      </w:pPr>
      <w:r>
        <w:lastRenderedPageBreak/>
        <w:t>A person who receives a confidentiality notices may disclose restricted matters to certain categories of persons, unless the i</w:t>
      </w:r>
      <w:r w:rsidR="006F3419">
        <w:t>ssuing agency directs otherwise.</w:t>
      </w:r>
    </w:p>
    <w:p w14:paraId="4775188F" w14:textId="77777777" w:rsidR="00E301E0" w:rsidRPr="00E202B6" w:rsidRDefault="00E301E0" w:rsidP="00CE4E2F">
      <w:pPr>
        <w:pStyle w:val="Heading2"/>
      </w:pPr>
      <w:r w:rsidRPr="00E301E0">
        <w:t>Exceptions to maintaining confidentiality</w:t>
      </w:r>
    </w:p>
    <w:p w14:paraId="3D311D99" w14:textId="72DBB8E1" w:rsidR="00E301E0" w:rsidRDefault="00E301E0" w:rsidP="00E301E0">
      <w:pPr>
        <w:pStyle w:val="VDWCbody"/>
      </w:pPr>
      <w:r>
        <w:t xml:space="preserve">It is an offence to disclose information connected with a </w:t>
      </w:r>
      <w:r w:rsidR="001F78A3">
        <w:t>public interest disclosure</w:t>
      </w:r>
      <w:r>
        <w:t>. Exceptions are:</w:t>
      </w:r>
    </w:p>
    <w:p w14:paraId="2F30B925" w14:textId="33779F83" w:rsidR="00E301E0" w:rsidRDefault="00E301E0" w:rsidP="00E301E0">
      <w:pPr>
        <w:pStyle w:val="VDWCbullet1"/>
      </w:pPr>
      <w:r>
        <w:t xml:space="preserve">where disclosure is required in order for </w:t>
      </w:r>
      <w:r w:rsidR="00867965">
        <w:t xml:space="preserve">the </w:t>
      </w:r>
      <w:r>
        <w:t>C</w:t>
      </w:r>
      <w:r w:rsidR="00867965">
        <w:t>ommission</w:t>
      </w:r>
      <w:r w:rsidR="0DDC4572">
        <w:t>, the Board</w:t>
      </w:r>
      <w:r>
        <w:t xml:space="preserve">, an investigating entity, or other relevant entity to exercise its functions under the PID Act </w:t>
      </w:r>
    </w:p>
    <w:p w14:paraId="7B3B7AE2" w14:textId="4016355C" w:rsidR="00E301E0" w:rsidRDefault="00E301E0" w:rsidP="00E301E0">
      <w:pPr>
        <w:pStyle w:val="VDWCbullet1"/>
      </w:pPr>
      <w:r>
        <w:t xml:space="preserve">where disclosure is in accordance with an investigative entity's direction or authorisation </w:t>
      </w:r>
    </w:p>
    <w:p w14:paraId="33E62404" w14:textId="3A3E066C" w:rsidR="00E301E0" w:rsidRDefault="00E301E0" w:rsidP="00E301E0">
      <w:pPr>
        <w:pStyle w:val="VDWCbullet1"/>
      </w:pPr>
      <w:r>
        <w:t>where disclosure is necessary to take lawful action in response to the conduct the subject of the disclosure (such as disciplinary process or action)</w:t>
      </w:r>
    </w:p>
    <w:p w14:paraId="1F00874B" w14:textId="2717BD58" w:rsidR="00E301E0" w:rsidRDefault="00E301E0" w:rsidP="00E301E0">
      <w:pPr>
        <w:pStyle w:val="VDWCbullet1"/>
      </w:pPr>
      <w:r>
        <w:t xml:space="preserve">where IBAC or the Victorian Inspectorate has determined that the disclosure is not a </w:t>
      </w:r>
      <w:r w:rsidR="001F78A3">
        <w:t>public interest disclosure</w:t>
      </w:r>
    </w:p>
    <w:p w14:paraId="725319EA" w14:textId="319AE624" w:rsidR="00E301E0" w:rsidRDefault="00E301E0" w:rsidP="00E301E0">
      <w:pPr>
        <w:pStyle w:val="VDWCbullet1"/>
      </w:pPr>
      <w:r>
        <w:t>when an investigative entity has published a report to Parliament in accordance with its confidentiality obligations</w:t>
      </w:r>
    </w:p>
    <w:p w14:paraId="791625C2" w14:textId="70EB3F7E" w:rsidR="00E301E0" w:rsidRDefault="00E301E0" w:rsidP="00E301E0">
      <w:pPr>
        <w:pStyle w:val="VDWCbullet1"/>
      </w:pPr>
      <w:r>
        <w:t>for the purpose of obtaining legal advice about matters specified in the PID Act</w:t>
      </w:r>
    </w:p>
    <w:p w14:paraId="2C005328" w14:textId="6B9CE11B" w:rsidR="00E301E0" w:rsidRPr="00E301E0" w:rsidRDefault="00E301E0" w:rsidP="00E301E0">
      <w:pPr>
        <w:pStyle w:val="VDWCbullet1"/>
      </w:pPr>
      <w:r>
        <w:t>to enable compliance with the PID Act:</w:t>
      </w:r>
    </w:p>
    <w:p w14:paraId="3BD03760" w14:textId="4F623116" w:rsidR="00E301E0" w:rsidRDefault="00E301E0" w:rsidP="00E301E0">
      <w:pPr>
        <w:pStyle w:val="VDWCbullet2"/>
      </w:pPr>
      <w:r>
        <w:t>where a person does not have a sufficient knowledge of the English language, to an interpreter</w:t>
      </w:r>
    </w:p>
    <w:p w14:paraId="3DE93445" w14:textId="7230E896" w:rsidR="00E301E0" w:rsidRDefault="00E301E0" w:rsidP="00E301E0">
      <w:pPr>
        <w:pStyle w:val="VDWCbullet2"/>
      </w:pPr>
      <w:r>
        <w:t>where a person is a minor, to a parent or guardian</w:t>
      </w:r>
    </w:p>
    <w:p w14:paraId="3686FF1A" w14:textId="59670403" w:rsidR="00E301E0" w:rsidRDefault="00E301E0" w:rsidP="00E301E0">
      <w:pPr>
        <w:pStyle w:val="VDWCbullet2"/>
      </w:pPr>
      <w:r>
        <w:t>where a person is suffering a disability and is not able to understand, to an independent person</w:t>
      </w:r>
    </w:p>
    <w:p w14:paraId="6EC33750" w14:textId="7EF787A1" w:rsidR="00E301E0" w:rsidRDefault="00E301E0" w:rsidP="00E301E0">
      <w:pPr>
        <w:pStyle w:val="VDWCbullet2"/>
      </w:pPr>
      <w:r>
        <w:t>in disciplinary actions or legal proceedings for certain offences in the PID Act or other specified Acts.</w:t>
      </w:r>
    </w:p>
    <w:p w14:paraId="2CD986DE" w14:textId="1DAA45F8" w:rsidR="00E301E0" w:rsidRPr="00E202B6" w:rsidRDefault="00E301E0" w:rsidP="00CE4E2F">
      <w:pPr>
        <w:pStyle w:val="Heading2"/>
      </w:pPr>
      <w:r>
        <w:t xml:space="preserve">Steps </w:t>
      </w:r>
      <w:r w:rsidR="00867965">
        <w:t>the Commission</w:t>
      </w:r>
      <w:r>
        <w:t xml:space="preserve"> </w:t>
      </w:r>
      <w:r w:rsidR="5E514585">
        <w:t xml:space="preserve">and Board </w:t>
      </w:r>
      <w:r>
        <w:t>will take to protect confidentiality</w:t>
      </w:r>
    </w:p>
    <w:p w14:paraId="3CF475F4" w14:textId="254B499D" w:rsidR="00E301E0" w:rsidRPr="00E301E0" w:rsidRDefault="00E301E0" w:rsidP="00E301E0">
      <w:pPr>
        <w:pStyle w:val="VDWCbody"/>
      </w:pPr>
      <w:r>
        <w:t xml:space="preserve">Consistent with these requirements, </w:t>
      </w:r>
      <w:r w:rsidR="00867965">
        <w:t xml:space="preserve">the </w:t>
      </w:r>
      <w:r>
        <w:t>C</w:t>
      </w:r>
      <w:r w:rsidR="00867965">
        <w:t>ommission</w:t>
      </w:r>
      <w:r>
        <w:t xml:space="preserve"> </w:t>
      </w:r>
      <w:r w:rsidR="47504C3B">
        <w:t xml:space="preserve">and the Board </w:t>
      </w:r>
      <w:r>
        <w:t>will take the following steps to protect confidentiality:</w:t>
      </w:r>
    </w:p>
    <w:p w14:paraId="1579C05D" w14:textId="7B4894B6" w:rsidR="00E301E0" w:rsidRPr="00E301E0" w:rsidRDefault="00E301E0" w:rsidP="00E301E0">
      <w:pPr>
        <w:pStyle w:val="VDWCbullet1"/>
      </w:pPr>
      <w:r w:rsidRPr="00E301E0">
        <w:t>Staff</w:t>
      </w:r>
      <w:r w:rsidR="001D01D1">
        <w:t xml:space="preserve"> and board member</w:t>
      </w:r>
      <w:r w:rsidRPr="00E301E0">
        <w:t xml:space="preserve"> training: </w:t>
      </w:r>
      <w:r>
        <w:t xml:space="preserve">provide all staff </w:t>
      </w:r>
      <w:r w:rsidR="001D01D1">
        <w:t xml:space="preserve">and board members </w:t>
      </w:r>
      <w:r>
        <w:t>with these procedures, and</w:t>
      </w:r>
      <w:r w:rsidR="009B1A8E">
        <w:t xml:space="preserve"> training on these procedures. </w:t>
      </w:r>
      <w:r>
        <w:t>Staff with specific responsibilities under the PID Act and staff with information management responsibilities wil</w:t>
      </w:r>
      <w:r w:rsidR="00867965">
        <w:t>l receive additional training.</w:t>
      </w:r>
    </w:p>
    <w:p w14:paraId="7AD56BF3" w14:textId="35C6C02D" w:rsidR="00E301E0" w:rsidRDefault="00E301E0" w:rsidP="00232BAB">
      <w:pPr>
        <w:pStyle w:val="VDWCbullet1"/>
      </w:pPr>
      <w:r>
        <w:t xml:space="preserve">Information management: </w:t>
      </w:r>
      <w:r w:rsidR="60E5BD64">
        <w:t>a</w:t>
      </w:r>
      <w:r>
        <w:t xml:space="preserve">ll files regarding </w:t>
      </w:r>
      <w:r w:rsidR="001F78A3">
        <w:t xml:space="preserve">public interest disclosures </w:t>
      </w:r>
      <w:r>
        <w:t xml:space="preserve">are secure and only accessible by the </w:t>
      </w:r>
      <w:r w:rsidR="005A6392">
        <w:t xml:space="preserve">Public Interest Disclosure </w:t>
      </w:r>
      <w:r>
        <w:t>Coordinator , investigating entity or welfare manager. This includes:</w:t>
      </w:r>
    </w:p>
    <w:p w14:paraId="278CEEF3" w14:textId="1DA46D86" w:rsidR="00E301E0" w:rsidRDefault="001F78A3" w:rsidP="003D0954">
      <w:pPr>
        <w:pStyle w:val="VDWCbullet2"/>
      </w:pPr>
      <w:r>
        <w:t>e</w:t>
      </w:r>
      <w:r w:rsidR="00E301E0" w:rsidRPr="00E301E0">
        <w:t xml:space="preserve">lectronic files will be produced and stored </w:t>
      </w:r>
      <w:r w:rsidR="0001415E">
        <w:t>separately</w:t>
      </w:r>
      <w:r w:rsidR="00E301E0" w:rsidRPr="00E301E0">
        <w:t xml:space="preserve"> </w:t>
      </w:r>
      <w:r w:rsidR="00867965">
        <w:t>and given password protection</w:t>
      </w:r>
      <w:r w:rsidR="0001415E">
        <w:t xml:space="preserve">, with </w:t>
      </w:r>
      <w:r>
        <w:t>b</w:t>
      </w:r>
      <w:r w:rsidR="00E301E0">
        <w:t>ackup file</w:t>
      </w:r>
      <w:r w:rsidR="00867965">
        <w:t xml:space="preserve">s stored </w:t>
      </w:r>
      <w:r w:rsidR="00FE3F2E">
        <w:t>in a secure manner such as on an encrypted external hard drive or USB</w:t>
      </w:r>
    </w:p>
    <w:p w14:paraId="64B79B2B" w14:textId="7867BC2C" w:rsidR="00E301E0" w:rsidRDefault="001F78A3" w:rsidP="00E301E0">
      <w:pPr>
        <w:pStyle w:val="VDWCbullet2"/>
      </w:pPr>
      <w:r>
        <w:t>p</w:t>
      </w:r>
      <w:r w:rsidR="00E301E0" w:rsidRPr="00E301E0">
        <w:t xml:space="preserve">rinted material will be kept in files clearly identified as containing </w:t>
      </w:r>
      <w:r w:rsidR="005A6392">
        <w:t>public interest disclosure</w:t>
      </w:r>
      <w:r w:rsidR="005A6392" w:rsidRPr="00E301E0">
        <w:t xml:space="preserve"> </w:t>
      </w:r>
      <w:r w:rsidR="00E301E0" w:rsidRPr="00E301E0">
        <w:t xml:space="preserve">material and display a warning of the criminal penalties that apply to unauthorised access or disclosure of </w:t>
      </w:r>
      <w:r w:rsidR="00867965">
        <w:t xml:space="preserve">information relating to </w:t>
      </w:r>
      <w:r w:rsidR="001D224A">
        <w:t>the disclosure</w:t>
      </w:r>
    </w:p>
    <w:p w14:paraId="72C8B7FB" w14:textId="78D4CBAD" w:rsidR="00E301E0" w:rsidRDefault="001F78A3" w:rsidP="00E301E0">
      <w:pPr>
        <w:pStyle w:val="VDWCbullet2"/>
      </w:pPr>
      <w:r>
        <w:t>t</w:t>
      </w:r>
      <w:r w:rsidR="00E301E0" w:rsidRPr="00E301E0">
        <w:t xml:space="preserve">he welfare manager will not divulge information relating to the disclosed matter except to the </w:t>
      </w:r>
      <w:r w:rsidR="005A6392">
        <w:t xml:space="preserve">Public Interest Disclosure </w:t>
      </w:r>
      <w:r w:rsidR="00E301E0" w:rsidRPr="00E301E0">
        <w:t>Coordinator or investigating entity</w:t>
      </w:r>
    </w:p>
    <w:p w14:paraId="1946FF96" w14:textId="0BAAA0CE" w:rsidR="00E301E0" w:rsidRDefault="001F78A3" w:rsidP="00E301E0">
      <w:pPr>
        <w:pStyle w:val="VDWCbullet2"/>
      </w:pPr>
      <w:r>
        <w:t>t</w:t>
      </w:r>
      <w:r w:rsidR="00867965">
        <w:t xml:space="preserve">he </w:t>
      </w:r>
      <w:r w:rsidR="00E301E0">
        <w:t>C</w:t>
      </w:r>
      <w:r w:rsidR="00867965">
        <w:t>ommission</w:t>
      </w:r>
      <w:r w:rsidR="00E301E0">
        <w:t xml:space="preserve"> </w:t>
      </w:r>
      <w:r w:rsidR="4B3E8EC6">
        <w:t xml:space="preserve">and the Board </w:t>
      </w:r>
      <w:r w:rsidR="00E301E0">
        <w:t xml:space="preserve">will not email documents relevant to a </w:t>
      </w:r>
      <w:r w:rsidR="001D224A">
        <w:t xml:space="preserve">public interest disclosure </w:t>
      </w:r>
      <w:r w:rsidR="00E301E0">
        <w:t>matter, and ensure that all telephone calls and meetings between relevant persons are in private.</w:t>
      </w:r>
    </w:p>
    <w:p w14:paraId="41AAE9B1" w14:textId="77777777" w:rsidR="00E301E0" w:rsidRDefault="00E301E0" w:rsidP="007F540E">
      <w:pPr>
        <w:pStyle w:val="Heading1"/>
      </w:pPr>
      <w:r w:rsidRPr="00E301E0">
        <w:t>How to make a disclosure</w:t>
      </w:r>
    </w:p>
    <w:p w14:paraId="68987C98" w14:textId="562634B0" w:rsidR="009B1A8E" w:rsidRPr="009B1A8E" w:rsidRDefault="009B1A8E" w:rsidP="44E7CCCC">
      <w:pPr>
        <w:pStyle w:val="VDWCbody"/>
        <w:rPr>
          <w:b/>
          <w:bCs/>
        </w:rPr>
      </w:pPr>
      <w:r w:rsidRPr="44E7CCCC">
        <w:rPr>
          <w:b/>
          <w:bCs/>
        </w:rPr>
        <w:t xml:space="preserve">Disclosures about </w:t>
      </w:r>
      <w:r w:rsidR="00867965" w:rsidRPr="44E7CCCC">
        <w:rPr>
          <w:b/>
          <w:bCs/>
        </w:rPr>
        <w:t>the Commission</w:t>
      </w:r>
      <w:r w:rsidR="0001415E">
        <w:rPr>
          <w:b/>
          <w:bCs/>
        </w:rPr>
        <w:t>, Board or</w:t>
      </w:r>
      <w:r w:rsidR="36DD2521" w:rsidRPr="44E7CCCC">
        <w:rPr>
          <w:b/>
          <w:bCs/>
        </w:rPr>
        <w:t xml:space="preserve"> the Commissioner </w:t>
      </w:r>
      <w:r w:rsidRPr="44E7CCCC">
        <w:rPr>
          <w:b/>
          <w:bCs/>
        </w:rPr>
        <w:t xml:space="preserve">should be made to IBAC: phone 1300 735 135, email info@ibac.vic.gov.au </w:t>
      </w:r>
    </w:p>
    <w:p w14:paraId="3CF0C4BC" w14:textId="586AC859" w:rsidR="009B1A8E" w:rsidRPr="009B1A8E" w:rsidRDefault="009B1A8E" w:rsidP="009B1A8E">
      <w:pPr>
        <w:pStyle w:val="VDWCbody"/>
      </w:pPr>
      <w:r>
        <w:t xml:space="preserve">A disclosure may be made orally or in writing, and may be made anonymously. Written disclosures to IBAC can be made via its online form available on the IBAC website: </w:t>
      </w:r>
      <w:hyperlink r:id="rId16" w:history="1">
        <w:r w:rsidRPr="009B1A8E">
          <w:rPr>
            <w:rStyle w:val="Hyperlink"/>
          </w:rPr>
          <w:t>https://www.ibac.vic.gov.au/reporting-corruption/report/complaints-form</w:t>
        </w:r>
      </w:hyperlink>
    </w:p>
    <w:p w14:paraId="7BB84140" w14:textId="6CF18281" w:rsidR="009B1A8E" w:rsidRPr="009B1A8E" w:rsidRDefault="009B1A8E" w:rsidP="009B1A8E">
      <w:pPr>
        <w:pStyle w:val="VDWCbody"/>
      </w:pPr>
      <w:r>
        <w:lastRenderedPageBreak/>
        <w:t xml:space="preserve">After a disclosure is notified to IBAC, IBAC will determine whether it is a </w:t>
      </w:r>
      <w:r w:rsidR="00924ABC">
        <w:t>public interest disclosure</w:t>
      </w:r>
      <w:r>
        <w:t xml:space="preserve">. A disclosure will not be treated as a </w:t>
      </w:r>
      <w:r w:rsidR="00924ABC">
        <w:t xml:space="preserve">public interest disclosure </w:t>
      </w:r>
      <w:r>
        <w:t>if, within 28 days of the disclosure, the discloser gives a written statement to the entity that received the disclosure, stating that the disclo</w:t>
      </w:r>
      <w:r w:rsidR="00867965">
        <w:t xml:space="preserve">sure is not a </w:t>
      </w:r>
      <w:r w:rsidR="00924ABC">
        <w:t>public interest disclosure</w:t>
      </w:r>
      <w:r w:rsidR="00867965">
        <w:t>.</w:t>
      </w:r>
    </w:p>
    <w:p w14:paraId="594B3ABF" w14:textId="6A9F8933" w:rsidR="00F023CF" w:rsidRPr="00E202B6" w:rsidRDefault="009B1A8E" w:rsidP="00CE4E2F">
      <w:pPr>
        <w:pStyle w:val="Heading2"/>
      </w:pPr>
      <w:r w:rsidRPr="00E202B6">
        <w:t xml:space="preserve">If IBAC determines the disclosure is a </w:t>
      </w:r>
      <w:r w:rsidR="00484F47">
        <w:t xml:space="preserve">public interest </w:t>
      </w:r>
      <w:r w:rsidR="005A6392">
        <w:t>complaint</w:t>
      </w:r>
    </w:p>
    <w:p w14:paraId="481C5073" w14:textId="08AA3B97" w:rsidR="009B1A8E" w:rsidRDefault="009B1A8E" w:rsidP="009B1A8E">
      <w:pPr>
        <w:pStyle w:val="VDWCbody"/>
      </w:pPr>
      <w:r>
        <w:t xml:space="preserve">If IBAC determines the </w:t>
      </w:r>
      <w:r w:rsidR="00484F47">
        <w:t>disclosure</w:t>
      </w:r>
      <w:r>
        <w:t xml:space="preserve"> is a </w:t>
      </w:r>
      <w:r w:rsidR="00484F47">
        <w:t>public interest</w:t>
      </w:r>
      <w:r w:rsidR="005A6392">
        <w:t xml:space="preserve"> complaint</w:t>
      </w:r>
      <w:r w:rsidR="00484F47">
        <w:t xml:space="preserve"> </w:t>
      </w:r>
      <w:r>
        <w:t>, it will advise the discloser in writing that the discloser has rights, protections and obligations under the PID Act that apply to a discloser.</w:t>
      </w:r>
    </w:p>
    <w:p w14:paraId="5A613EB5" w14:textId="330810A6" w:rsidR="009B1A8E" w:rsidRDefault="009B1A8E" w:rsidP="009B1A8E">
      <w:pPr>
        <w:pStyle w:val="VDWCbody"/>
      </w:pPr>
      <w:r>
        <w:t xml:space="preserve">Once IBAC has determined that a disclosure is a </w:t>
      </w:r>
      <w:r w:rsidR="005A6392">
        <w:t>public interest complaint</w:t>
      </w:r>
      <w:r>
        <w:t>, the discloser ca</w:t>
      </w:r>
      <w:r w:rsidR="00867965">
        <w:t>nnot withdraw that disclosure.</w:t>
      </w:r>
    </w:p>
    <w:p w14:paraId="36199D22" w14:textId="03F91B3D" w:rsidR="00F023CF" w:rsidRPr="00E202B6" w:rsidRDefault="009B1A8E" w:rsidP="00CE4E2F">
      <w:pPr>
        <w:pStyle w:val="Heading2"/>
      </w:pPr>
      <w:r w:rsidRPr="00E202B6">
        <w:t xml:space="preserve">If IBAC determines the disclosure is not a </w:t>
      </w:r>
      <w:r w:rsidR="00484F47">
        <w:t xml:space="preserve">public interest </w:t>
      </w:r>
      <w:r w:rsidR="005A6392">
        <w:t xml:space="preserve">complaint </w:t>
      </w:r>
    </w:p>
    <w:p w14:paraId="0C3C11D1" w14:textId="05F43A87" w:rsidR="009B1A8E" w:rsidRDefault="009B1A8E" w:rsidP="000B724D">
      <w:pPr>
        <w:pStyle w:val="VDWCbody"/>
      </w:pPr>
      <w:r w:rsidRPr="009B1A8E">
        <w:t xml:space="preserve">If IBAC determines that a disclosure is not a </w:t>
      </w:r>
      <w:r w:rsidR="00484F47">
        <w:t xml:space="preserve">public interest </w:t>
      </w:r>
      <w:r w:rsidR="005A6392">
        <w:t>complaint</w:t>
      </w:r>
      <w:r w:rsidRPr="009B1A8E">
        <w:t>, it will ad</w:t>
      </w:r>
      <w:r w:rsidR="00867965">
        <w:t xml:space="preserve">vise the discloser in writing. </w:t>
      </w:r>
      <w:r w:rsidRPr="009B1A8E">
        <w:t xml:space="preserve">The rights, protections and obligations of a person who has made a </w:t>
      </w:r>
      <w:r w:rsidR="00484F47">
        <w:t>public interest disclosure</w:t>
      </w:r>
      <w:r w:rsidR="00484F47" w:rsidRPr="009B1A8E">
        <w:t xml:space="preserve"> </w:t>
      </w:r>
      <w:r w:rsidRPr="009B1A8E">
        <w:t>under</w:t>
      </w:r>
      <w:r>
        <w:t xml:space="preserve"> the PID Act will still apply. </w:t>
      </w:r>
      <w:r w:rsidRPr="009B1A8E">
        <w:t>IBAC will also inform the discloser if it thinks that the disclosure could be dealt with by another en</w:t>
      </w:r>
      <w:r w:rsidR="00867965">
        <w:t>tity.</w:t>
      </w:r>
    </w:p>
    <w:p w14:paraId="1F9D6926" w14:textId="090CE8F5" w:rsidR="009B1A8E" w:rsidRDefault="009B1A8E" w:rsidP="00B4393B">
      <w:pPr>
        <w:pStyle w:val="Heading2"/>
      </w:pPr>
      <w:r>
        <w:t>Information about the investigation</w:t>
      </w:r>
    </w:p>
    <w:p w14:paraId="4F51A8C7" w14:textId="7DBCF23E" w:rsidR="009B1A8E" w:rsidRDefault="009B1A8E" w:rsidP="009B1A8E">
      <w:pPr>
        <w:pStyle w:val="VDWCbody"/>
      </w:pPr>
      <w:r w:rsidRPr="009B1A8E">
        <w:t xml:space="preserve">If IBAC (or another investigative entity) is investigating a </w:t>
      </w:r>
      <w:r w:rsidR="00484F47">
        <w:t>public interest disclosure</w:t>
      </w:r>
      <w:r w:rsidRPr="009B1A8E">
        <w:t xml:space="preserve">, it may contact </w:t>
      </w:r>
      <w:r w:rsidR="00867965">
        <w:t xml:space="preserve">the </w:t>
      </w:r>
      <w:r w:rsidRPr="009B1A8E">
        <w:t>C</w:t>
      </w:r>
      <w:r w:rsidR="00867965">
        <w:t>ommission</w:t>
      </w:r>
      <w:r w:rsidR="004A00E1">
        <w:t>, the Board</w:t>
      </w:r>
      <w:r w:rsidRPr="009B1A8E">
        <w:t xml:space="preserve"> or the person who is the subject of the d</w:t>
      </w:r>
      <w:r w:rsidR="00867965">
        <w:t>isclosure to seek information.</w:t>
      </w:r>
    </w:p>
    <w:p w14:paraId="1279110E" w14:textId="357D41CB" w:rsidR="009B1A8E" w:rsidRDefault="009B1A8E" w:rsidP="009B1A8E">
      <w:pPr>
        <w:pStyle w:val="VDWCbody"/>
      </w:pPr>
      <w:r w:rsidRPr="009B1A8E">
        <w:t xml:space="preserve">Disclosing information to IBAC (or other relevant investigative entity) does not breach the confidentiality </w:t>
      </w:r>
      <w:r w:rsidR="00867965">
        <w:t>requirements under the PID Act.</w:t>
      </w:r>
      <w:r w:rsidRPr="009B1A8E">
        <w:t xml:space="preserve"> Where </w:t>
      </w:r>
      <w:r w:rsidR="00867965">
        <w:t xml:space="preserve">the </w:t>
      </w:r>
      <w:r w:rsidRPr="009B1A8E">
        <w:t>C</w:t>
      </w:r>
      <w:r w:rsidR="00867965">
        <w:t>ommission</w:t>
      </w:r>
      <w:r w:rsidR="004A00E1">
        <w:t xml:space="preserve"> or Board</w:t>
      </w:r>
      <w:r w:rsidRPr="009B1A8E">
        <w:t xml:space="preserve"> is advised of the discloser's identity, it will support the welfare of that person, including by protecting them from detrimental action.</w:t>
      </w:r>
    </w:p>
    <w:p w14:paraId="56199126" w14:textId="45A38D25" w:rsidR="009B1A8E" w:rsidRPr="009B1A8E" w:rsidRDefault="008A6649" w:rsidP="009B1A8E">
      <w:pPr>
        <w:pStyle w:val="VDWCbody"/>
      </w:pPr>
      <w:r w:rsidRPr="008A6649">
        <w:t>An investigative entity generally informs the discloser of the outcome of its investigation, including any action it has taken and recommendations it has made, but will not provide any information that is likely to lead to t</w:t>
      </w:r>
      <w:r>
        <w:t xml:space="preserve">he discloser being identified. </w:t>
      </w:r>
      <w:r w:rsidRPr="008A6649">
        <w:t xml:space="preserve">The investigative entity may provide to </w:t>
      </w:r>
      <w:r w:rsidR="00E202B6">
        <w:t xml:space="preserve">the </w:t>
      </w:r>
      <w:r w:rsidRPr="008A6649">
        <w:t>C</w:t>
      </w:r>
      <w:r w:rsidR="00E202B6">
        <w:t>ommission</w:t>
      </w:r>
      <w:r w:rsidR="00EB6D15">
        <w:t xml:space="preserve"> or Board</w:t>
      </w:r>
      <w:r w:rsidRPr="008A6649">
        <w:t xml:space="preserve"> written information about the commencement, conduct or result of an investigation, including any actions taken and any recommendation made that any action or further action be taken.</w:t>
      </w:r>
    </w:p>
    <w:p w14:paraId="274289D2" w14:textId="098C33FF" w:rsidR="005A2E07" w:rsidRDefault="008A6649" w:rsidP="6767B7ED">
      <w:pPr>
        <w:pStyle w:val="Heading1"/>
      </w:pPr>
      <w:r>
        <w:t xml:space="preserve">Supporting staff </w:t>
      </w:r>
      <w:r w:rsidR="66E26AFE">
        <w:t xml:space="preserve">and Board member </w:t>
      </w:r>
      <w:r>
        <w:t>welfare</w:t>
      </w:r>
    </w:p>
    <w:p w14:paraId="6B075D53" w14:textId="6F8549FD" w:rsidR="008A6649" w:rsidRDefault="00E202B6" w:rsidP="00F023CF">
      <w:pPr>
        <w:pStyle w:val="VDWCbody"/>
      </w:pPr>
      <w:r>
        <w:t xml:space="preserve">The </w:t>
      </w:r>
      <w:r w:rsidR="008A6649">
        <w:t>C</w:t>
      </w:r>
      <w:r>
        <w:t>ommission</w:t>
      </w:r>
      <w:r w:rsidR="008A6649">
        <w:t xml:space="preserve"> </w:t>
      </w:r>
      <w:r w:rsidR="06654D6F">
        <w:t>and Board are</w:t>
      </w:r>
      <w:r w:rsidR="008A6649">
        <w:t xml:space="preserve"> committed to protecting persons who make </w:t>
      </w:r>
      <w:r w:rsidR="001D224A">
        <w:t>public interest disclosures</w:t>
      </w:r>
      <w:r w:rsidR="008A6649">
        <w:t xml:space="preserve"> from detrimental action taken in reprisal for such disclosures. </w:t>
      </w:r>
      <w:r w:rsidR="006F3419">
        <w:t xml:space="preserve">The </w:t>
      </w:r>
      <w:r w:rsidR="008A6649">
        <w:t>C</w:t>
      </w:r>
      <w:r w:rsidR="006F3419">
        <w:t>ommission</w:t>
      </w:r>
      <w:r w:rsidR="008A6649">
        <w:t xml:space="preserve"> </w:t>
      </w:r>
      <w:r w:rsidR="26C77358">
        <w:t>and the Board are</w:t>
      </w:r>
      <w:r w:rsidR="008A6649">
        <w:t xml:space="preserve"> also committed to protecting the welfare of people who have cooperated or intend to cooperate with an investigation of a public interest disclosure complaint, and persons who are the subject of allegations in a disclosure.</w:t>
      </w:r>
    </w:p>
    <w:p w14:paraId="13A617F3" w14:textId="67745C9A" w:rsidR="008A6649" w:rsidRDefault="008A6649" w:rsidP="00F023CF">
      <w:pPr>
        <w:pStyle w:val="VDWCbody"/>
      </w:pPr>
      <w:r>
        <w:t xml:space="preserve">Because </w:t>
      </w:r>
      <w:r w:rsidR="006F3419">
        <w:t>the Commission</w:t>
      </w:r>
      <w:r>
        <w:t xml:space="preserve"> </w:t>
      </w:r>
      <w:r w:rsidR="20B79C29">
        <w:t xml:space="preserve">and Board </w:t>
      </w:r>
      <w:r>
        <w:t xml:space="preserve">cannot receive disclosures then </w:t>
      </w:r>
      <w:r w:rsidR="65B7C007">
        <w:t>neither entity</w:t>
      </w:r>
      <w:r>
        <w:t xml:space="preserve"> may not know that a</w:t>
      </w:r>
      <w:r w:rsidR="00867965">
        <w:t xml:space="preserve"> person has made a disclosure. </w:t>
      </w:r>
      <w:r>
        <w:t xml:space="preserve">Because of confidentiality obligations, a person who has made a </w:t>
      </w:r>
      <w:r w:rsidR="00484F47">
        <w:t xml:space="preserve">public interest disclosure </w:t>
      </w:r>
      <w:r>
        <w:t xml:space="preserve">must not discuss the matter with anyone else except IBAC (or another investigative entity to which IBAC has referred the disclosure). Therefore, </w:t>
      </w:r>
      <w:r w:rsidR="006F3419">
        <w:t>the Commission</w:t>
      </w:r>
      <w:r>
        <w:t xml:space="preserve"> </w:t>
      </w:r>
      <w:r w:rsidR="694A544F">
        <w:t xml:space="preserve">and Board </w:t>
      </w:r>
      <w:r>
        <w:t xml:space="preserve">will only know that a person should be protected under the PID Act if it is informed of the disclosure by IBAC (or other relevant investigative entity) or where information has been disclosed to </w:t>
      </w:r>
      <w:r w:rsidR="006F3419">
        <w:t>the Commission</w:t>
      </w:r>
      <w:r>
        <w:t xml:space="preserve"> </w:t>
      </w:r>
      <w:r w:rsidR="7C859642">
        <w:t xml:space="preserve">or Board </w:t>
      </w:r>
      <w:r>
        <w:t xml:space="preserve">under one of the exceptions to non-disclosure. These exceptions are contained in the Section 4.2 of IBAC's </w:t>
      </w:r>
      <w:r w:rsidRPr="44E7CCCC">
        <w:rPr>
          <w:i/>
          <w:iCs/>
        </w:rPr>
        <w:t>Guidelines for handling public interest disclosures</w:t>
      </w:r>
      <w:r>
        <w:t xml:space="preserve"> and contained in sectio</w:t>
      </w:r>
      <w:r w:rsidR="00867965">
        <w:t>ns 53(2) or 54 of the PID Act.</w:t>
      </w:r>
    </w:p>
    <w:p w14:paraId="64D5D52A" w14:textId="17FB08A7" w:rsidR="008A6649" w:rsidRDefault="2667674A" w:rsidP="00F023CF">
      <w:pPr>
        <w:pStyle w:val="VDWCbody"/>
      </w:pPr>
      <w:r>
        <w:t>The Commission, i</w:t>
      </w:r>
      <w:r w:rsidR="008A6649">
        <w:t>n line with</w:t>
      </w:r>
      <w:r w:rsidR="00A37578">
        <w:t xml:space="preserve"> the </w:t>
      </w:r>
      <w:r w:rsidR="00113ED7" w:rsidRPr="44E7CCCC">
        <w:rPr>
          <w:i/>
          <w:iCs/>
        </w:rPr>
        <w:t xml:space="preserve">Code of Conduct for Victorian Public Sector employees </w:t>
      </w:r>
      <w:r w:rsidR="00113ED7">
        <w:t>and the Victorian public sector values</w:t>
      </w:r>
      <w:r w:rsidR="00601C8D">
        <w:t xml:space="preserve"> </w:t>
      </w:r>
      <w:r w:rsidR="00113ED7">
        <w:t>(&lt;</w:t>
      </w:r>
      <w:hyperlink r:id="rId17">
        <w:r w:rsidR="00113ED7" w:rsidRPr="44E7CCCC">
          <w:rPr>
            <w:rStyle w:val="Hyperlink"/>
          </w:rPr>
          <w:t>https://vpsc.vic.gov.au/ethics-behaviours-culture/promoting-integrity/vps-values-and-employment-principles/</w:t>
        </w:r>
      </w:hyperlink>
      <w:r w:rsidR="00113ED7">
        <w:t>&gt;)</w:t>
      </w:r>
      <w:r w:rsidR="00601C8D">
        <w:t xml:space="preserve"> </w:t>
      </w:r>
      <w:r w:rsidR="008A6649">
        <w:t xml:space="preserve"> </w:t>
      </w:r>
      <w:r w:rsidR="35CB939E">
        <w:t xml:space="preserve">and the Board, in line with the </w:t>
      </w:r>
      <w:r w:rsidR="2917A398" w:rsidRPr="00B44A92">
        <w:rPr>
          <w:i/>
          <w:iCs/>
        </w:rPr>
        <w:t>Code of Conduct for Directors of Victorian Public Entities</w:t>
      </w:r>
      <w:r w:rsidR="2917A398">
        <w:t xml:space="preserve"> (&lt; </w:t>
      </w:r>
      <w:hyperlink r:id="rId18" w:history="1">
        <w:r w:rsidR="2917A398" w:rsidRPr="44E7CCCC">
          <w:rPr>
            <w:rStyle w:val="Hyperlink"/>
          </w:rPr>
          <w:t>https://vpsc.vic.gov.au/html-resources/code-of-conduct-for-directors-of-public-entities/</w:t>
        </w:r>
      </w:hyperlink>
      <w:r w:rsidR="2917A398">
        <w:t xml:space="preserve">&gt;) </w:t>
      </w:r>
      <w:r w:rsidR="008A6649">
        <w:t>will provide an inclusive work environment and respond appropriately to any reports of intimidation or harassment.</w:t>
      </w:r>
    </w:p>
    <w:p w14:paraId="350E6043" w14:textId="77777777" w:rsidR="008A6649" w:rsidRPr="008A6649" w:rsidRDefault="008A6649" w:rsidP="00B4393B">
      <w:pPr>
        <w:pStyle w:val="Heading2"/>
      </w:pPr>
      <w:r>
        <w:lastRenderedPageBreak/>
        <w:t xml:space="preserve">Welfare services </w:t>
      </w:r>
    </w:p>
    <w:p w14:paraId="0591EFBD" w14:textId="340DA3F9" w:rsidR="008A6649" w:rsidRDefault="006F3419" w:rsidP="008A6649">
      <w:pPr>
        <w:pStyle w:val="VDWCbody"/>
      </w:pPr>
      <w:r>
        <w:t xml:space="preserve">The </w:t>
      </w:r>
      <w:r w:rsidR="008A6649">
        <w:t xml:space="preserve"> Public Interest Disclosure Coordinator has a key role in how to ensure that the welfare of any persons connected with a public interest disclosure complaint is properly managed. The </w:t>
      </w:r>
      <w:r w:rsidR="00484F47">
        <w:t xml:space="preserve">Public Interest Disclosure </w:t>
      </w:r>
      <w:r w:rsidR="008A6649">
        <w:t>Coordinator:</w:t>
      </w:r>
    </w:p>
    <w:p w14:paraId="4AA6CA87" w14:textId="15B58E94" w:rsidR="008A6649" w:rsidRDefault="008A6649" w:rsidP="008A6649">
      <w:pPr>
        <w:pStyle w:val="VDWCbullet1"/>
      </w:pPr>
      <w:r>
        <w:t>provides general advice about the PID Act and about integrity agencies including IBAC</w:t>
      </w:r>
    </w:p>
    <w:p w14:paraId="7BB47598" w14:textId="2E230AA0" w:rsidR="008A6649" w:rsidRDefault="008A6649" w:rsidP="008A6649">
      <w:pPr>
        <w:pStyle w:val="VDWCbullet1"/>
      </w:pPr>
      <w:r>
        <w:t>ensures that we carry out our responsibilities under the PID Act and associated regulations and guidelines</w:t>
      </w:r>
    </w:p>
    <w:p w14:paraId="551053F6" w14:textId="24FFCDC6" w:rsidR="008A6649" w:rsidRDefault="008A6649" w:rsidP="008A6649">
      <w:pPr>
        <w:pStyle w:val="VDWCbullet1"/>
      </w:pPr>
      <w:r>
        <w:t>is our chief liaison with IBAC about the PID Act</w:t>
      </w:r>
    </w:p>
    <w:p w14:paraId="6E71D510" w14:textId="436D3AED" w:rsidR="008A6649" w:rsidRDefault="008A6649" w:rsidP="008A6649">
      <w:pPr>
        <w:pStyle w:val="VDWCbullet1"/>
      </w:pPr>
      <w:r>
        <w:t>will take all necessary steps to ensure information received or obtained in connection with a disclosure is confidential, including the identities of the discloser or other persons connected with the disclosure</w:t>
      </w:r>
    </w:p>
    <w:p w14:paraId="2007B8B5" w14:textId="0D550707" w:rsidR="008A6649" w:rsidRDefault="008A6649" w:rsidP="008A6649">
      <w:pPr>
        <w:pStyle w:val="VDWCbullet1"/>
      </w:pPr>
      <w:r>
        <w:t>arranges necessary and appropriate welfare support for the discloser, including by appointing a welfare manager to support the discloser and to protect them from reprisals</w:t>
      </w:r>
    </w:p>
    <w:p w14:paraId="1CC395F5" w14:textId="0A5864BF" w:rsidR="008A6649" w:rsidRDefault="008A6649" w:rsidP="008A6649">
      <w:pPr>
        <w:pStyle w:val="VDWCbullet1"/>
      </w:pPr>
      <w:r>
        <w:t xml:space="preserve">collates statistics that </w:t>
      </w:r>
      <w:r w:rsidR="006F3419">
        <w:t>the Commission</w:t>
      </w:r>
      <w:r w:rsidR="2DC38E3A">
        <w:t xml:space="preserve"> and the Board</w:t>
      </w:r>
      <w:r>
        <w:t xml:space="preserve"> </w:t>
      </w:r>
      <w:r w:rsidR="64241C81">
        <w:t>are</w:t>
      </w:r>
      <w:r>
        <w:t xml:space="preserve"> required to report under the PID Act.</w:t>
      </w:r>
    </w:p>
    <w:p w14:paraId="11FB5395" w14:textId="1D54892D" w:rsidR="008A6649" w:rsidRDefault="006F3419" w:rsidP="00CE4E2F">
      <w:pPr>
        <w:pStyle w:val="VDWCbodyafterbullets"/>
      </w:pPr>
      <w:r>
        <w:t>The Commission</w:t>
      </w:r>
      <w:r w:rsidR="008A6649">
        <w:t xml:space="preserve">'s </w:t>
      </w:r>
      <w:r w:rsidR="48AC9E39">
        <w:t xml:space="preserve">and the Board’s </w:t>
      </w:r>
      <w:r w:rsidR="00484F47">
        <w:t xml:space="preserve">Public Interest Disclosure </w:t>
      </w:r>
      <w:r w:rsidR="008A6649">
        <w:t>Coordinator is General Counsel</w:t>
      </w:r>
      <w:r w:rsidR="00924ABC">
        <w:t>,</w:t>
      </w:r>
      <w:r w:rsidR="008A6649">
        <w:t xml:space="preserve"> Prue Elletson, phone 0409 801 364 or email: </w:t>
      </w:r>
      <w:hyperlink r:id="rId19">
        <w:r w:rsidR="008A6649" w:rsidRPr="44E7CCCC">
          <w:rPr>
            <w:rStyle w:val="Hyperlink"/>
          </w:rPr>
          <w:t>prue.elletson@vdwc.vic.gov.au</w:t>
        </w:r>
      </w:hyperlink>
    </w:p>
    <w:p w14:paraId="31667C30" w14:textId="2B355A41" w:rsidR="008A6649" w:rsidRDefault="008A6649" w:rsidP="00F023CF">
      <w:pPr>
        <w:pStyle w:val="VDWCbody"/>
      </w:pPr>
      <w:r>
        <w:t xml:space="preserve">The </w:t>
      </w:r>
      <w:r w:rsidR="003258C9">
        <w:t xml:space="preserve">Public Interest Disclosure Coordinator may appoint a welfare manager to the </w:t>
      </w:r>
      <w:r>
        <w:t xml:space="preserve">subject of a disclosure or be referred to </w:t>
      </w:r>
      <w:r w:rsidR="006F3419">
        <w:t>the Commission</w:t>
      </w:r>
      <w:r w:rsidR="003258C9">
        <w:t xml:space="preserve">’s </w:t>
      </w:r>
      <w:r w:rsidR="005B653E">
        <w:t>e</w:t>
      </w:r>
      <w:r w:rsidR="00867965">
        <w:t xml:space="preserve">mployee </w:t>
      </w:r>
      <w:r w:rsidR="005B653E">
        <w:t>a</w:t>
      </w:r>
      <w:r w:rsidR="00867965">
        <w:t xml:space="preserve">ssistance program. </w:t>
      </w:r>
      <w:r>
        <w:t xml:space="preserve">Alternatively, the </w:t>
      </w:r>
      <w:r w:rsidR="00484F47">
        <w:t xml:space="preserve">Public Interest Disclosure </w:t>
      </w:r>
      <w:r>
        <w:t>Coordinator will provide support and advice to the subject of a disclosure, particularly in relation to their rights and obligations under the PID</w:t>
      </w:r>
      <w:r w:rsidR="00867965">
        <w:t xml:space="preserve"> Act and other related matters.</w:t>
      </w:r>
      <w:r>
        <w:t xml:space="preserve"> </w:t>
      </w:r>
      <w:r w:rsidR="006F3419">
        <w:t>The Commission</w:t>
      </w:r>
      <w:r>
        <w:t xml:space="preserve"> </w:t>
      </w:r>
      <w:r w:rsidR="00F28BFC">
        <w:t xml:space="preserve">and the Board </w:t>
      </w:r>
      <w:r>
        <w:t>will consider each matter on a case-by-case basis, taking into account the information it has been provided by the investigative entity and the person’s particular circumstances.</w:t>
      </w:r>
    </w:p>
    <w:p w14:paraId="6C7DF574" w14:textId="475A988A" w:rsidR="008A6649" w:rsidRDefault="008A6649" w:rsidP="008A6649">
      <w:pPr>
        <w:pStyle w:val="Heading2"/>
      </w:pPr>
      <w:r>
        <w:t>Support for disclosers and cooperators</w:t>
      </w:r>
    </w:p>
    <w:p w14:paraId="22B3E23B" w14:textId="68264C78" w:rsidR="008A6649" w:rsidRDefault="006F3419" w:rsidP="00F023CF">
      <w:pPr>
        <w:pStyle w:val="VDWCbody"/>
      </w:pPr>
      <w:r>
        <w:t>The Commission</w:t>
      </w:r>
      <w:r w:rsidR="008A6649">
        <w:t xml:space="preserve"> </w:t>
      </w:r>
      <w:r w:rsidR="742E4C6C">
        <w:t xml:space="preserve">and the Board </w:t>
      </w:r>
      <w:r w:rsidR="008A6649">
        <w:t>will support disclosers and cooperators by:</w:t>
      </w:r>
    </w:p>
    <w:p w14:paraId="6F06C2C1" w14:textId="02C690A1" w:rsidR="008A6649" w:rsidRDefault="008A6649" w:rsidP="008A6649">
      <w:pPr>
        <w:pStyle w:val="VDWCbullet1"/>
      </w:pPr>
      <w:r>
        <w:t>keeping them informed of an action that is proposed to be taken in relation to the disclosure, and the outcome of any action</w:t>
      </w:r>
    </w:p>
    <w:p w14:paraId="716A5887" w14:textId="06A43FAE" w:rsidR="008A6649" w:rsidRDefault="008A6649" w:rsidP="008A6649">
      <w:pPr>
        <w:pStyle w:val="VDWCbullet1"/>
      </w:pPr>
      <w:r>
        <w:t>providing the legal protections available to the person</w:t>
      </w:r>
    </w:p>
    <w:p w14:paraId="17D31AF9" w14:textId="2E173EC1" w:rsidR="008A6649" w:rsidRDefault="008A6649" w:rsidP="008A6649">
      <w:pPr>
        <w:pStyle w:val="VDWCbullet1"/>
      </w:pPr>
      <w:r>
        <w:t xml:space="preserve">managing expectations through early discussion about the outcomes sought, whether their expectations are realistic, and what </w:t>
      </w:r>
      <w:r w:rsidR="006F3419">
        <w:t>the Commission</w:t>
      </w:r>
      <w:r>
        <w:t xml:space="preserve"> </w:t>
      </w:r>
      <w:r w:rsidR="627E326D">
        <w:t xml:space="preserve">or the Board </w:t>
      </w:r>
      <w:r>
        <w:t>can do</w:t>
      </w:r>
    </w:p>
    <w:p w14:paraId="391CE50D" w14:textId="2148FBD8" w:rsidR="008A6649" w:rsidRDefault="008A6649" w:rsidP="008A6649">
      <w:pPr>
        <w:pStyle w:val="VDWCbullet1"/>
      </w:pPr>
      <w:r>
        <w:t xml:space="preserve">protecting confidentiality by </w:t>
      </w:r>
    </w:p>
    <w:p w14:paraId="1C80BA55" w14:textId="77777777" w:rsidR="008A6649" w:rsidRDefault="008A6649" w:rsidP="00871CAE">
      <w:pPr>
        <w:pStyle w:val="VDWCbullet2"/>
      </w:pPr>
      <w:r>
        <w:t xml:space="preserve">protecting the identity of the discloser or cooperator; </w:t>
      </w:r>
    </w:p>
    <w:p w14:paraId="11791085" w14:textId="77777777" w:rsidR="008A6649" w:rsidRDefault="008A6649" w:rsidP="00871CAE">
      <w:pPr>
        <w:pStyle w:val="VDWCbullet2"/>
      </w:pPr>
      <w:r>
        <w:t>reminding the discloser or cooperator not to reveal information that would allow them to be identified</w:t>
      </w:r>
    </w:p>
    <w:p w14:paraId="6C7B7649" w14:textId="77777777" w:rsidR="008A6649" w:rsidRDefault="008A6649" w:rsidP="00871CAE">
      <w:pPr>
        <w:pStyle w:val="VDWCbullet2"/>
      </w:pPr>
      <w:r>
        <w:t xml:space="preserve">ensuring that files relating to the disclosure are accessible only to those who are involved in managing disclosures </w:t>
      </w:r>
    </w:p>
    <w:p w14:paraId="757D23DC" w14:textId="77777777" w:rsidR="008A6649" w:rsidRDefault="008A6649" w:rsidP="008A6649">
      <w:pPr>
        <w:pStyle w:val="VDWCbullet1"/>
      </w:pPr>
      <w:r>
        <w:t>proactively assessing the risk of detrimental action being taken in reprisal (rather than reactively waiting for a problem to arise and a complaint to be made by the discloser or cooperator), that is, actively monitoring the workplace, anticipating problems and dealing with them before they develop as far as is possible</w:t>
      </w:r>
    </w:p>
    <w:p w14:paraId="5CD59D5D" w14:textId="77777777" w:rsidR="008A6649" w:rsidRDefault="008A6649" w:rsidP="008A6649">
      <w:pPr>
        <w:pStyle w:val="VDWCbullet1"/>
      </w:pPr>
      <w:r>
        <w:t>protecting the discloser or cooperator by:</w:t>
      </w:r>
    </w:p>
    <w:p w14:paraId="0A02EF1A" w14:textId="77777777" w:rsidR="008A6649" w:rsidRDefault="008A6649" w:rsidP="00871CAE">
      <w:pPr>
        <w:pStyle w:val="VDWCbullet2"/>
      </w:pPr>
      <w:r>
        <w:t>examining the immediate welfare and protection needs of the person and seeking to foster a supportive work environment</w:t>
      </w:r>
    </w:p>
    <w:p w14:paraId="2D9B64A8" w14:textId="77777777" w:rsidR="008A6649" w:rsidRDefault="008A6649" w:rsidP="00871CAE">
      <w:pPr>
        <w:pStyle w:val="VDWCbullet2"/>
      </w:pPr>
      <w:r>
        <w:t>listening and responding to any concerns the person may have about harassment, intimidation or victimisation in reprisal for making a public interest disclosure complaint</w:t>
      </w:r>
    </w:p>
    <w:p w14:paraId="3D713AF4" w14:textId="77777777" w:rsidR="008A6649" w:rsidRDefault="008A6649" w:rsidP="00871CAE">
      <w:pPr>
        <w:pStyle w:val="VDWCbullet2"/>
      </w:pPr>
      <w:r>
        <w:t>assessing whether the concerns the person may have about harassment, intimidation or victimisation might be due to other causes (i.e. other than disclosure under the PID Act)</w:t>
      </w:r>
    </w:p>
    <w:p w14:paraId="3BEF65C7" w14:textId="0C81A381" w:rsidR="008A6649" w:rsidRDefault="008A6649" w:rsidP="008A6649">
      <w:pPr>
        <w:pStyle w:val="VDWCbullet1"/>
      </w:pPr>
      <w:r>
        <w:t xml:space="preserve">preventing the spread of gossip and rumours about any investigation into a complaint (where </w:t>
      </w:r>
      <w:r w:rsidR="006F3419">
        <w:t>the Commission</w:t>
      </w:r>
      <w:r>
        <w:t xml:space="preserve"> is aware of the investigation)</w:t>
      </w:r>
    </w:p>
    <w:p w14:paraId="6A20538A" w14:textId="2D3194E8" w:rsidR="008A6649" w:rsidRDefault="008A6649" w:rsidP="008A6649">
      <w:pPr>
        <w:pStyle w:val="VDWCbullet1"/>
      </w:pPr>
      <w:r>
        <w:t>keeping contemporaneous records of all aspects of the case management of the person, including all</w:t>
      </w:r>
      <w:r w:rsidR="00867965">
        <w:t xml:space="preserve"> contact and follow-up action.</w:t>
      </w:r>
    </w:p>
    <w:p w14:paraId="07F2563A" w14:textId="024FEEDA" w:rsidR="008A6649" w:rsidRDefault="00871CAE" w:rsidP="00B4393B">
      <w:pPr>
        <w:pStyle w:val="Heading2"/>
      </w:pPr>
      <w:r>
        <w:lastRenderedPageBreak/>
        <w:t>Appointment of welfare manager</w:t>
      </w:r>
    </w:p>
    <w:p w14:paraId="3DCBBB49" w14:textId="47885408" w:rsidR="00871CAE" w:rsidRDefault="006F3419" w:rsidP="00F023CF">
      <w:pPr>
        <w:pStyle w:val="VDWCbody"/>
      </w:pPr>
      <w:r>
        <w:t>The Commission</w:t>
      </w:r>
      <w:r w:rsidR="00871CAE">
        <w:t xml:space="preserve"> </w:t>
      </w:r>
      <w:r w:rsidR="5145CE51">
        <w:t xml:space="preserve">or the Board, as the case requires, </w:t>
      </w:r>
      <w:r w:rsidR="00871CAE">
        <w:t xml:space="preserve">will consider appointment of </w:t>
      </w:r>
      <w:r w:rsidR="619D1ED5">
        <w:t xml:space="preserve">a </w:t>
      </w:r>
      <w:r w:rsidR="00871CAE">
        <w:t xml:space="preserve">welfare manager consistent with IBAC's </w:t>
      </w:r>
      <w:r w:rsidR="00871CAE" w:rsidRPr="44E7CCCC">
        <w:rPr>
          <w:i/>
          <w:iCs/>
        </w:rPr>
        <w:t>Guidelines for public interest disclosure welfare management</w:t>
      </w:r>
      <w:r w:rsidR="00FC4CD9">
        <w:t>.</w:t>
      </w:r>
    </w:p>
    <w:p w14:paraId="75EC384E" w14:textId="43FD14BA" w:rsidR="00871CAE" w:rsidRDefault="00871CAE" w:rsidP="00F023CF">
      <w:pPr>
        <w:pStyle w:val="VDWCbody"/>
      </w:pPr>
      <w:r w:rsidRPr="00871CAE">
        <w:t>Usually, a welfare manager will only be needed where a disclosure proceeds to investigation, but each case will be assessed on its own merits.</w:t>
      </w:r>
    </w:p>
    <w:p w14:paraId="5F10EA61" w14:textId="7F5D2C86" w:rsidR="00871CAE" w:rsidRDefault="00871CAE" w:rsidP="00F023CF">
      <w:pPr>
        <w:pStyle w:val="VDWCbody"/>
      </w:pPr>
      <w:r>
        <w:t xml:space="preserve">A welfare manager must not divulge any details relating to a disclosed matter to any person other than the </w:t>
      </w:r>
      <w:r w:rsidR="00484F47">
        <w:t xml:space="preserve">Public Interest Disclosure </w:t>
      </w:r>
      <w:r>
        <w:t xml:space="preserve">Coordinator or the </w:t>
      </w:r>
      <w:r w:rsidR="004C5060">
        <w:t>principal officer</w:t>
      </w:r>
      <w:r>
        <w:t xml:space="preserve">. However, information relating to a </w:t>
      </w:r>
      <w:r w:rsidR="00484F47">
        <w:t xml:space="preserve">public interest disclosure </w:t>
      </w:r>
      <w:r>
        <w:t xml:space="preserve">(or the identity of the person who made the </w:t>
      </w:r>
      <w:r w:rsidR="00484F47">
        <w:t>disclosure</w:t>
      </w:r>
      <w:r>
        <w:t xml:space="preserve">) may be disclosed to a health practitioner, trade union or an </w:t>
      </w:r>
      <w:r w:rsidR="005B653E">
        <w:t xml:space="preserve">employee assistance program </w:t>
      </w:r>
      <w:r>
        <w:t xml:space="preserve">in order to assist the person who made the </w:t>
      </w:r>
      <w:r w:rsidR="00484F47">
        <w:t xml:space="preserve">disclosure </w:t>
      </w:r>
      <w:r>
        <w:t>to seek advice or support.</w:t>
      </w:r>
    </w:p>
    <w:p w14:paraId="086FE630" w14:textId="76884925" w:rsidR="00871CAE" w:rsidRDefault="00871CAE" w:rsidP="00871CAE">
      <w:pPr>
        <w:pStyle w:val="VDWCbody"/>
      </w:pPr>
      <w:r>
        <w:t>Usually, the welfare manager will, in addition to providing general support:</w:t>
      </w:r>
    </w:p>
    <w:p w14:paraId="47DE7310" w14:textId="23314AA9" w:rsidR="00871CAE" w:rsidRDefault="00871CAE" w:rsidP="00871CAE">
      <w:pPr>
        <w:pStyle w:val="VDWCbullet1"/>
      </w:pPr>
      <w:r>
        <w:t xml:space="preserve">Advise the person of their rights under the PID Act </w:t>
      </w:r>
    </w:p>
    <w:p w14:paraId="3BF10C6C" w14:textId="1A429FE2" w:rsidR="00871CAE" w:rsidRDefault="00871CAE" w:rsidP="00871CAE">
      <w:pPr>
        <w:pStyle w:val="VDWCbullet1"/>
      </w:pPr>
      <w:r>
        <w:t>Listen and respond to any concerns the person may have about harassment, intimidation or victimisation in reprisal for their actions</w:t>
      </w:r>
    </w:p>
    <w:p w14:paraId="29765C62" w14:textId="0C236372" w:rsidR="00871CAE" w:rsidRDefault="00871CAE" w:rsidP="00871CAE">
      <w:pPr>
        <w:pStyle w:val="VDWCbullet1"/>
      </w:pPr>
      <w:r>
        <w:t xml:space="preserve">Ensure that all meetings between the welfare manager and the person are conducted discreetly to protect the person from being identified as being involved in the disclosure and that the person knows that they can access the </w:t>
      </w:r>
      <w:r w:rsidR="006F3419">
        <w:t>Commission</w:t>
      </w:r>
      <w:r>
        <w:t>'s Employee Assistance Program</w:t>
      </w:r>
    </w:p>
    <w:p w14:paraId="1C10D9A4" w14:textId="4B74B235" w:rsidR="00871CAE" w:rsidRDefault="00871CAE" w:rsidP="00871CAE">
      <w:pPr>
        <w:pStyle w:val="VDWCbullet1"/>
      </w:pPr>
      <w:r>
        <w:t>Discuss the issue of reasonable expectations with the discloser or cooperator.</w:t>
      </w:r>
    </w:p>
    <w:p w14:paraId="03E12594" w14:textId="77777777" w:rsidR="00871CAE" w:rsidRPr="00871CAE" w:rsidRDefault="00871CAE" w:rsidP="00B4393B">
      <w:pPr>
        <w:pStyle w:val="Heading2"/>
      </w:pPr>
      <w:r w:rsidRPr="00871CAE">
        <w:t>Welfare of subjects of a disclosure</w:t>
      </w:r>
    </w:p>
    <w:p w14:paraId="21E8B08D" w14:textId="40478D8C" w:rsidR="00871CAE" w:rsidRDefault="00871CAE" w:rsidP="00871CAE">
      <w:pPr>
        <w:pStyle w:val="VDWCbody"/>
      </w:pPr>
      <w:r>
        <w:t xml:space="preserve">Until a public interest disclosure complaint is resolved (either by dismissing or investigating it) the information about the person is only an allegation. Therefore, </w:t>
      </w:r>
      <w:r w:rsidR="006F3419">
        <w:t>the Commission</w:t>
      </w:r>
      <w:r w:rsidR="1781C365">
        <w:t xml:space="preserve"> and the Board</w:t>
      </w:r>
      <w:r>
        <w:t xml:space="preserve"> will also meet the welfare needs of a person who is</w:t>
      </w:r>
      <w:r w:rsidR="00867965">
        <w:t xml:space="preserve"> the subject of a </w:t>
      </w:r>
      <w:r w:rsidR="00484F47">
        <w:t>disclosure</w:t>
      </w:r>
      <w:r w:rsidR="00867965">
        <w:t>.</w:t>
      </w:r>
    </w:p>
    <w:p w14:paraId="76C9CD9D" w14:textId="09D75E05" w:rsidR="00871CAE" w:rsidRDefault="00871CAE" w:rsidP="00871CAE">
      <w:pPr>
        <w:pStyle w:val="VDWCbody"/>
      </w:pPr>
      <w:r>
        <w:t>The PID Act limits the disclosure of information about the content of disclosures or which would be l</w:t>
      </w:r>
      <w:r w:rsidR="00867965">
        <w:t xml:space="preserve">ikely to identify a discloser. </w:t>
      </w:r>
      <w:r>
        <w:t xml:space="preserve">However, </w:t>
      </w:r>
      <w:r w:rsidR="006F3419">
        <w:t>the Commission</w:t>
      </w:r>
      <w:r>
        <w:t xml:space="preserve"> </w:t>
      </w:r>
      <w:r w:rsidR="5047D5CA">
        <w:t xml:space="preserve">or the Board </w:t>
      </w:r>
      <w:r>
        <w:t>may give information about the disclosure to the subject of the disclosure:</w:t>
      </w:r>
    </w:p>
    <w:p w14:paraId="36E1E94F" w14:textId="0F13121B" w:rsidR="00871CAE" w:rsidRDefault="00871CAE" w:rsidP="00871CAE">
      <w:pPr>
        <w:pStyle w:val="VDWCbullet1"/>
      </w:pPr>
      <w:r>
        <w:t>if it is directed or authorised to do so by the investigative entity investigating the public interest disclosure complaint</w:t>
      </w:r>
    </w:p>
    <w:p w14:paraId="13C05D7C" w14:textId="0456975D" w:rsidR="00871CAE" w:rsidRDefault="00871CAE" w:rsidP="00871CAE">
      <w:pPr>
        <w:pStyle w:val="VDWCbullet1"/>
      </w:pPr>
      <w:r>
        <w:t>for the purpose of taking action with respect to the conduct alleged, including disciplinary action.</w:t>
      </w:r>
    </w:p>
    <w:p w14:paraId="55CF1318" w14:textId="3E12B4D9" w:rsidR="00871CAE" w:rsidRDefault="00871CAE" w:rsidP="00CE4E2F">
      <w:pPr>
        <w:pStyle w:val="VDWCbodyafterbullets"/>
      </w:pPr>
      <w:r>
        <w:t xml:space="preserve">Investigative entities may also inform the subject of the </w:t>
      </w:r>
      <w:r w:rsidR="00484F47">
        <w:t xml:space="preserve">disclosure </w:t>
      </w:r>
      <w:r>
        <w:t>for the purposes of conducting their investigation, or taking action as a result of their investigation.</w:t>
      </w:r>
    </w:p>
    <w:p w14:paraId="5B7950E2" w14:textId="4398B7C4" w:rsidR="00871CAE" w:rsidRDefault="006F3419" w:rsidP="00871CAE">
      <w:pPr>
        <w:pStyle w:val="VDWCbody"/>
      </w:pPr>
      <w:r>
        <w:t>The Commission</w:t>
      </w:r>
      <w:r w:rsidR="00871CAE">
        <w:t xml:space="preserve"> </w:t>
      </w:r>
      <w:r w:rsidR="76D435FD">
        <w:t xml:space="preserve">or the Board </w:t>
      </w:r>
      <w:r w:rsidR="00871CAE">
        <w:t>will take all reasonable steps to ensure the confidentiality of a person who is the subject of a public interest disclosure complaint. Where the disclosure is dismissed or investigations do not substantiate the allegations, confidentiality will be maintained in relation to the subject's identity, as well as the fact of the investigation and any results.</w:t>
      </w:r>
    </w:p>
    <w:p w14:paraId="613D7879" w14:textId="7A2D76D3" w:rsidR="00871CAE" w:rsidRPr="00871CAE" w:rsidRDefault="00871CAE" w:rsidP="00871CAE">
      <w:pPr>
        <w:pStyle w:val="Heading2"/>
        <w:rPr>
          <w:rFonts w:eastAsia="MS Gothic" w:cs="Arial"/>
          <w:b w:val="0"/>
          <w:bCs/>
          <w:kern w:val="32"/>
          <w:sz w:val="36"/>
          <w:szCs w:val="40"/>
        </w:rPr>
      </w:pPr>
      <w:r w:rsidRPr="00871CAE">
        <w:rPr>
          <w:rFonts w:eastAsia="MS Gothic" w:cs="Arial"/>
          <w:b w:val="0"/>
          <w:bCs/>
          <w:kern w:val="32"/>
          <w:sz w:val="36"/>
          <w:szCs w:val="40"/>
        </w:rPr>
        <w:t>Confidentiality</w:t>
      </w:r>
    </w:p>
    <w:p w14:paraId="6DE5E59E" w14:textId="4BB47ACD" w:rsidR="00871CAE" w:rsidRPr="00871CAE" w:rsidRDefault="00871CAE" w:rsidP="00B4393B">
      <w:pPr>
        <w:pStyle w:val="Heading2"/>
      </w:pPr>
      <w:r w:rsidRPr="00871CAE">
        <w:t>Procedural fairness</w:t>
      </w:r>
    </w:p>
    <w:p w14:paraId="1B2B1628" w14:textId="1764D6AC" w:rsidR="00871CAE" w:rsidRDefault="00871CAE" w:rsidP="00871CAE">
      <w:pPr>
        <w:pStyle w:val="VDWCbody"/>
      </w:pPr>
      <w:r>
        <w:t xml:space="preserve">The subject of an allegation has a right to be accorded procedural fairness before a decision is made about their conduct, this includes the right to: </w:t>
      </w:r>
    </w:p>
    <w:p w14:paraId="5EFDBC38" w14:textId="1C5F9241" w:rsidR="00871CAE" w:rsidRDefault="00871CAE" w:rsidP="00871CAE">
      <w:pPr>
        <w:pStyle w:val="VDWCbullet1"/>
      </w:pPr>
      <w:r>
        <w:t>be informed about the substance of the allegations against them</w:t>
      </w:r>
    </w:p>
    <w:p w14:paraId="472A9951" w14:textId="219B46ED" w:rsidR="00871CAE" w:rsidRDefault="00871CAE" w:rsidP="00871CAE">
      <w:pPr>
        <w:pStyle w:val="VDWCbullet1"/>
      </w:pPr>
      <w:r>
        <w:t>have the opportunity to answer the allegations before a final decision is made</w:t>
      </w:r>
    </w:p>
    <w:p w14:paraId="4848A49F" w14:textId="0D3B43E4" w:rsidR="00871CAE" w:rsidRDefault="00871CAE" w:rsidP="00871CAE">
      <w:pPr>
        <w:pStyle w:val="VDWCbullet1"/>
      </w:pPr>
      <w:r>
        <w:t>be informed about the substance of any adverse comment that may be included in any report arising from an investigation</w:t>
      </w:r>
    </w:p>
    <w:p w14:paraId="25E04CB1" w14:textId="1AA2C5CA" w:rsidR="00871CAE" w:rsidRDefault="00871CAE" w:rsidP="00871CAE">
      <w:pPr>
        <w:pStyle w:val="VDWCbullet1"/>
      </w:pPr>
      <w:r>
        <w:t>have their defence set out fairly in any report.</w:t>
      </w:r>
    </w:p>
    <w:p w14:paraId="17AFD257" w14:textId="503E97B9" w:rsidR="00871CAE" w:rsidRDefault="00871CAE" w:rsidP="00CE4E2F">
      <w:pPr>
        <w:pStyle w:val="VDWCbodyafterbullets"/>
      </w:pPr>
      <w:r>
        <w:lastRenderedPageBreak/>
        <w:t>If the matter has been investigated, the investigating entity is responsible for carrying out this consultation.</w:t>
      </w:r>
    </w:p>
    <w:p w14:paraId="6CDA275E" w14:textId="77777777" w:rsidR="00871CAE" w:rsidRPr="006F3419" w:rsidRDefault="00871CAE" w:rsidP="00B4393B">
      <w:pPr>
        <w:pStyle w:val="Heading2"/>
      </w:pPr>
      <w:r w:rsidRPr="006F3419">
        <w:t>If the allegations are wrong or unsubstantiated</w:t>
      </w:r>
    </w:p>
    <w:p w14:paraId="0C4F849A" w14:textId="348209C4" w:rsidR="00871CAE" w:rsidRDefault="00871CAE" w:rsidP="00871CAE">
      <w:pPr>
        <w:pStyle w:val="VDWCbody"/>
      </w:pPr>
      <w:r>
        <w:t xml:space="preserve">If someone has been the subject of wrong or unsubstantiated allegations, </w:t>
      </w:r>
      <w:r w:rsidR="006F3419">
        <w:t>the Commission</w:t>
      </w:r>
      <w:r>
        <w:t xml:space="preserve"> </w:t>
      </w:r>
      <w:r w:rsidR="3B6FD97C">
        <w:t xml:space="preserve">or the Board </w:t>
      </w:r>
      <w:r>
        <w:t xml:space="preserve">and the investigating entity will ensure there are no adverse consequences for the person arising out of the disclosure or its investigation, particularly where information has been publicly disclosed that has identified the person or such information has become well known within </w:t>
      </w:r>
      <w:r w:rsidR="006F3419">
        <w:t>the Commission</w:t>
      </w:r>
      <w:r w:rsidR="4EF11E6E">
        <w:t xml:space="preserve"> or among the Board</w:t>
      </w:r>
      <w:r>
        <w:t>.</w:t>
      </w:r>
    </w:p>
    <w:p w14:paraId="701811D9" w14:textId="3C5C3B64" w:rsidR="00871CAE" w:rsidRPr="006F3419" w:rsidRDefault="00871CAE" w:rsidP="00B4393B">
      <w:pPr>
        <w:pStyle w:val="Heading2"/>
      </w:pPr>
      <w:r w:rsidRPr="006F3419">
        <w:t>If detrimental action is reported</w:t>
      </w:r>
    </w:p>
    <w:p w14:paraId="3C169438" w14:textId="2EA208CB" w:rsidR="00871CAE" w:rsidRDefault="00871CAE" w:rsidP="00871CAE">
      <w:pPr>
        <w:pStyle w:val="VDWCbody"/>
      </w:pPr>
      <w:r>
        <w:t xml:space="preserve">If any person reports potential detrimental action taken in reprisal for a disclosure, the </w:t>
      </w:r>
      <w:r w:rsidR="0728B960">
        <w:t>w</w:t>
      </w:r>
      <w:r>
        <w:t xml:space="preserve">elfare </w:t>
      </w:r>
      <w:r w:rsidR="52E72885">
        <w:t>m</w:t>
      </w:r>
      <w:r>
        <w:t xml:space="preserve">anager or </w:t>
      </w:r>
      <w:r w:rsidR="00484F47">
        <w:t xml:space="preserve">Public Interest Disclosure </w:t>
      </w:r>
      <w:r>
        <w:t>Coordinator must record details of the incident and advise the person of their rights under the PID Act.</w:t>
      </w:r>
    </w:p>
    <w:p w14:paraId="4B1398C1" w14:textId="77777777" w:rsidR="00871CAE" w:rsidRPr="00871CAE" w:rsidRDefault="00871CAE" w:rsidP="00871CAE">
      <w:pPr>
        <w:pStyle w:val="Heading2"/>
        <w:rPr>
          <w:rFonts w:eastAsia="MS Gothic" w:cs="Arial"/>
          <w:b w:val="0"/>
          <w:bCs/>
          <w:kern w:val="32"/>
          <w:sz w:val="36"/>
          <w:szCs w:val="40"/>
        </w:rPr>
      </w:pPr>
      <w:r w:rsidRPr="00871CAE">
        <w:rPr>
          <w:rFonts w:eastAsia="MS Gothic" w:cs="Arial"/>
          <w:b w:val="0"/>
          <w:bCs/>
          <w:kern w:val="32"/>
          <w:sz w:val="36"/>
          <w:szCs w:val="40"/>
        </w:rPr>
        <w:t>Transfer of employees</w:t>
      </w:r>
    </w:p>
    <w:p w14:paraId="3606A462" w14:textId="4D370A89" w:rsidR="00871CAE" w:rsidRDefault="00871CAE" w:rsidP="00871CAE">
      <w:pPr>
        <w:pStyle w:val="VDWCbody"/>
      </w:pPr>
      <w:r>
        <w:t xml:space="preserve">An employee who has made a </w:t>
      </w:r>
      <w:r w:rsidR="00484F47">
        <w:t>public interest disclosure</w:t>
      </w:r>
      <w:r>
        <w:t>, and who reasonably believes that detrimental action is being, will be, or has been taken against them, can req</w:t>
      </w:r>
      <w:r w:rsidR="00867965">
        <w:t xml:space="preserve">uest a transfer of employment. </w:t>
      </w:r>
      <w:r>
        <w:t>The transfer may be permanent or temporary, and post-transfer service will be treated as continuous with pre-transfer service.</w:t>
      </w:r>
    </w:p>
    <w:p w14:paraId="3956FF8C" w14:textId="01EC1D2E" w:rsidR="3E2B845A" w:rsidRDefault="3E2B845A" w:rsidP="44E7CCCC">
      <w:pPr>
        <w:pStyle w:val="VDWCbody"/>
      </w:pPr>
      <w:r>
        <w:t>Transfer of employees under this polic</w:t>
      </w:r>
      <w:r w:rsidR="7CD0698B">
        <w:t>y</w:t>
      </w:r>
      <w:r>
        <w:t xml:space="preserve"> </w:t>
      </w:r>
      <w:r w:rsidR="7885B830">
        <w:t>is</w:t>
      </w:r>
      <w:r w:rsidR="643CFAA5">
        <w:t xml:space="preserve"> not</w:t>
      </w:r>
      <w:r>
        <w:t xml:space="preserve"> appl</w:t>
      </w:r>
      <w:r w:rsidR="1530E8C7">
        <w:t>i</w:t>
      </w:r>
      <w:r w:rsidR="593586E5">
        <w:t>cable</w:t>
      </w:r>
      <w:r>
        <w:t xml:space="preserve"> to Board members.</w:t>
      </w:r>
      <w:r w:rsidR="00FE7000" w:rsidRPr="00FE7000">
        <w:t xml:space="preserve"> </w:t>
      </w:r>
    </w:p>
    <w:p w14:paraId="37DD21F0" w14:textId="008B8B23" w:rsidR="00871CAE" w:rsidRDefault="006F3419" w:rsidP="00871CAE">
      <w:pPr>
        <w:pStyle w:val="VDWCbody"/>
      </w:pPr>
      <w:r>
        <w:t>The</w:t>
      </w:r>
      <w:r w:rsidR="00871CAE">
        <w:t xml:space="preserve"> Commissioner may transfer the employee on terms and conditions of employment that are no less favourable overall, provided:</w:t>
      </w:r>
    </w:p>
    <w:p w14:paraId="396BC1F7" w14:textId="55069B01" w:rsidR="00871CAE" w:rsidRDefault="00871CAE" w:rsidP="00232BAB">
      <w:pPr>
        <w:pStyle w:val="VDWCbullet1"/>
      </w:pPr>
      <w:r>
        <w:t>the employee requests/consents to the transfer</w:t>
      </w:r>
    </w:p>
    <w:p w14:paraId="75FCE909" w14:textId="54120387" w:rsidR="00871CAE" w:rsidRDefault="006F3419" w:rsidP="00232BAB">
      <w:pPr>
        <w:pStyle w:val="VDWCbullet1"/>
      </w:pPr>
      <w:r>
        <w:t>the</w:t>
      </w:r>
      <w:r w:rsidR="00871CAE">
        <w:t xml:space="preserve"> Commissioner reasonably suspects that detrimental action will be, is being, or has been taken against that employee</w:t>
      </w:r>
    </w:p>
    <w:p w14:paraId="0284E2FA" w14:textId="497204C6" w:rsidR="00871CAE" w:rsidRDefault="006F3419" w:rsidP="00232BAB">
      <w:pPr>
        <w:pStyle w:val="VDWCbullet1"/>
      </w:pPr>
      <w:r>
        <w:t>the</w:t>
      </w:r>
      <w:r w:rsidR="00871CAE">
        <w:t xml:space="preserve"> Commissioner considers that the transfer will avoid, reduce or eliminate the risk of detrimental action against the employee</w:t>
      </w:r>
    </w:p>
    <w:p w14:paraId="4F86DC86" w14:textId="656B1A8F" w:rsidR="00871CAE" w:rsidRPr="00871CAE" w:rsidRDefault="00871CAE" w:rsidP="00232BAB">
      <w:pPr>
        <w:pStyle w:val="VDWCbullet1"/>
      </w:pPr>
      <w:r>
        <w:t>the Head of the public service body or entity to which the employee will be transf</w:t>
      </w:r>
      <w:r w:rsidR="00867965">
        <w:t>erred consents to the transfer.</w:t>
      </w:r>
      <w:r>
        <w:t xml:space="preserve"> </w:t>
      </w:r>
    </w:p>
    <w:p w14:paraId="03537703" w14:textId="77777777" w:rsidR="00232BAB" w:rsidRPr="006F3419" w:rsidRDefault="00232BAB" w:rsidP="006F3419">
      <w:pPr>
        <w:pStyle w:val="Heading2"/>
      </w:pPr>
      <w:r w:rsidRPr="006F3419">
        <w:t xml:space="preserve">If the discloser is implicated in the relevant improper conduct or detrimental action </w:t>
      </w:r>
    </w:p>
    <w:p w14:paraId="7616E559" w14:textId="7A6227E0" w:rsidR="00232BAB" w:rsidRDefault="00232BAB" w:rsidP="00232BAB">
      <w:pPr>
        <w:pStyle w:val="VDWCbody"/>
      </w:pPr>
      <w:r>
        <w:t xml:space="preserve">Where a discloser is implicated in the improper conduct disclosed and an investigative entity has provided the necessary information to </w:t>
      </w:r>
      <w:r w:rsidR="006F3419">
        <w:t>the Commission</w:t>
      </w:r>
      <w:r w:rsidR="00680F37">
        <w:t xml:space="preserve"> or Board</w:t>
      </w:r>
      <w:r>
        <w:t xml:space="preserve">, </w:t>
      </w:r>
      <w:r w:rsidR="006F3419">
        <w:t xml:space="preserve">then </w:t>
      </w:r>
      <w:r w:rsidR="44B4C7DF">
        <w:t xml:space="preserve">the </w:t>
      </w:r>
      <w:r w:rsidR="006F3419">
        <w:t>Commission</w:t>
      </w:r>
      <w:r>
        <w:t xml:space="preserve"> </w:t>
      </w:r>
      <w:r w:rsidR="00680F37">
        <w:t xml:space="preserve">and Board </w:t>
      </w:r>
      <w:r>
        <w:t xml:space="preserve">will protect the discloser from detrimental action in accordance with the PID Act. </w:t>
      </w:r>
    </w:p>
    <w:p w14:paraId="67697267" w14:textId="16C75861" w:rsidR="00232BAB" w:rsidRDefault="006F3419" w:rsidP="00232BAB">
      <w:pPr>
        <w:pStyle w:val="VDWCbody"/>
      </w:pPr>
      <w:r w:rsidRPr="002A62D6">
        <w:t>The</w:t>
      </w:r>
      <w:r w:rsidR="00232BAB" w:rsidRPr="002A62D6">
        <w:t xml:space="preserve"> Commissioner </w:t>
      </w:r>
      <w:r w:rsidR="002A62D6" w:rsidRPr="002A62D6">
        <w:t xml:space="preserve">will make </w:t>
      </w:r>
      <w:r w:rsidR="00300EA6">
        <w:t>a</w:t>
      </w:r>
      <w:r w:rsidR="002A62D6" w:rsidRPr="002A62D6">
        <w:t xml:space="preserve"> decision</w:t>
      </w:r>
      <w:r w:rsidR="00300EA6">
        <w:t>,</w:t>
      </w:r>
      <w:r w:rsidR="002A62D6" w:rsidRPr="002A62D6">
        <w:t xml:space="preserve"> after consulting with the Public Interest Disclosure Coordinator and welfare manager</w:t>
      </w:r>
      <w:r w:rsidR="00300EA6">
        <w:t>,</w:t>
      </w:r>
      <w:r w:rsidR="00232BAB" w:rsidRPr="002A62D6">
        <w:t xml:space="preserve"> about whether disciplinary or other action will be</w:t>
      </w:r>
      <w:r w:rsidR="00232BAB">
        <w:t xml:space="preserve"> taken against a discloser</w:t>
      </w:r>
      <w:r w:rsidR="00300EA6">
        <w:t xml:space="preserve"> who is an employee</w:t>
      </w:r>
      <w:r w:rsidR="00232BAB">
        <w:t>.</w:t>
      </w:r>
    </w:p>
    <w:p w14:paraId="5356C8FC" w14:textId="2EC0935D" w:rsidR="00232BAB" w:rsidRDefault="00232BAB" w:rsidP="00232BAB">
      <w:pPr>
        <w:pStyle w:val="VDWCbody"/>
      </w:pPr>
      <w:r>
        <w:t xml:space="preserve">Where disciplinary or other action relates to conduct that is the subject of the disclosure, the disciplinary or other action will only be taken after the disclosure has </w:t>
      </w:r>
      <w:r w:rsidR="00867965">
        <w:t xml:space="preserve">been appropriately dealt with. </w:t>
      </w:r>
      <w:r>
        <w:t xml:space="preserve">In all cases where disciplinary or other action is being considered, any such action will not be taken without </w:t>
      </w:r>
      <w:r w:rsidR="006F3419">
        <w:t>the Commission</w:t>
      </w:r>
      <w:r>
        <w:t xml:space="preserve"> ensuring that:</w:t>
      </w:r>
    </w:p>
    <w:p w14:paraId="43695725" w14:textId="361DA5D2" w:rsidR="00232BAB" w:rsidRDefault="00232BAB" w:rsidP="00232BAB">
      <w:pPr>
        <w:pStyle w:val="VDWCbullet1"/>
      </w:pPr>
      <w:r>
        <w:t xml:space="preserve">the fact that a person has made a </w:t>
      </w:r>
      <w:r w:rsidR="001D224A">
        <w:t xml:space="preserve">public interest disclosure </w:t>
      </w:r>
      <w:r>
        <w:t xml:space="preserve">is not a reason for </w:t>
      </w:r>
      <w:r w:rsidR="006F3419">
        <w:t>the Commission taking the a</w:t>
      </w:r>
      <w:r>
        <w:t>ction against the employee</w:t>
      </w:r>
    </w:p>
    <w:p w14:paraId="3B40F9FD" w14:textId="66C072B6" w:rsidR="00232BAB" w:rsidRDefault="00232BAB" w:rsidP="00232BAB">
      <w:pPr>
        <w:pStyle w:val="VDWCbullet1"/>
      </w:pPr>
      <w:r>
        <w:t>there are good and sufficient grounds that would fully justify action against any other person in the same circumstances</w:t>
      </w:r>
    </w:p>
    <w:p w14:paraId="437DAACB" w14:textId="77777777" w:rsidR="00232BAB" w:rsidRDefault="00232BAB" w:rsidP="00232BAB">
      <w:pPr>
        <w:pStyle w:val="VDWCbullet1"/>
      </w:pPr>
      <w:r>
        <w:t>there are good and sufficient grounds that justify exercising any discretion to institute disciplinary or other action.</w:t>
      </w:r>
    </w:p>
    <w:p w14:paraId="246A038C" w14:textId="2F9890CD" w:rsidR="00F023CF" w:rsidRDefault="006F3419" w:rsidP="00F023CF">
      <w:pPr>
        <w:pStyle w:val="VDWCbody"/>
      </w:pPr>
      <w:r>
        <w:t>The Commission</w:t>
      </w:r>
      <w:r w:rsidR="00232BAB">
        <w:t xml:space="preserve"> will document the process if any action is taken against the discloser, including why any disciplinary or other action is taken, and explain why the action does not constitute r</w:t>
      </w:r>
      <w:r w:rsidR="00867965">
        <w:t xml:space="preserve">eprisal against the discloser. </w:t>
      </w:r>
      <w:r w:rsidR="00232BAB">
        <w:t>The discloser will be afforded procedural fairness, including being informed of any such proposed action and any mitigating factors that have been taken into account.</w:t>
      </w:r>
      <w:r w:rsidR="00680F37">
        <w:t xml:space="preserve"> </w:t>
      </w:r>
      <w:r w:rsidR="00F023CF">
        <w:t xml:space="preserve">For further information, contact the </w:t>
      </w:r>
      <w:r w:rsidR="00484F47">
        <w:t xml:space="preserve">Public Interest Disclosure </w:t>
      </w:r>
      <w:r w:rsidR="003C0D8E">
        <w:t>coordinator</w:t>
      </w:r>
      <w:r w:rsidR="00D04F07">
        <w:t>.</w:t>
      </w:r>
      <w:r w:rsidR="00D04F07" w:rsidDel="00D04F07">
        <w:t xml:space="preserve"> </w:t>
      </w:r>
    </w:p>
    <w:p w14:paraId="32308394" w14:textId="193B306D" w:rsidR="32447E4A" w:rsidRDefault="32447E4A" w:rsidP="44E7CCCC">
      <w:pPr>
        <w:pStyle w:val="VDWCbody"/>
      </w:pPr>
      <w:r>
        <w:lastRenderedPageBreak/>
        <w:t xml:space="preserve">The </w:t>
      </w:r>
      <w:r w:rsidRPr="00A86AC9">
        <w:rPr>
          <w:i/>
          <w:iCs/>
        </w:rPr>
        <w:t>Disability Service Safeguards Act 2018</w:t>
      </w:r>
      <w:r w:rsidR="00A303B7">
        <w:rPr>
          <w:i/>
          <w:iCs/>
        </w:rPr>
        <w:t xml:space="preserve"> </w:t>
      </w:r>
      <w:r w:rsidR="00A303B7">
        <w:t xml:space="preserve"> applies to the tenure </w:t>
      </w:r>
      <w:r w:rsidR="7AF92A48">
        <w:t xml:space="preserve">of Board members </w:t>
      </w:r>
      <w:r w:rsidR="2D5DB740">
        <w:t>(see sec</w:t>
      </w:r>
      <w:r>
        <w:t>tions 10 and 12</w:t>
      </w:r>
      <w:r w:rsidR="392F46D0">
        <w:t>)</w:t>
      </w:r>
      <w:r>
        <w:t>.</w:t>
      </w:r>
    </w:p>
    <w:p w14:paraId="2438F724" w14:textId="7F813613" w:rsidR="00FF24A5" w:rsidRPr="00FB7439" w:rsidRDefault="00FF24A5" w:rsidP="00FF24A5">
      <w:pPr>
        <w:pStyle w:val="Heading1"/>
      </w:pPr>
      <w:r>
        <w:t>References/related documents</w:t>
      </w:r>
    </w:p>
    <w:p w14:paraId="52E64FB7" w14:textId="30BA035F" w:rsidR="007F540E" w:rsidRPr="007F540E" w:rsidRDefault="007F540E" w:rsidP="00D87170">
      <w:pPr>
        <w:pStyle w:val="Heading2"/>
      </w:pPr>
      <w:r>
        <w:t>Policies and guidelines</w:t>
      </w:r>
    </w:p>
    <w:p w14:paraId="75195C3E" w14:textId="7F084BB7" w:rsidR="007F540E" w:rsidRDefault="007F540E" w:rsidP="00FB7439">
      <w:pPr>
        <w:pStyle w:val="VDWCbody"/>
      </w:pPr>
      <w:r>
        <w:t>List of related policies and guidelines</w:t>
      </w:r>
      <w:r w:rsidR="00DC3C49">
        <w:t xml:space="preserve">: </w:t>
      </w:r>
    </w:p>
    <w:p w14:paraId="36375F9A" w14:textId="753FAF9B" w:rsidR="007F540E" w:rsidRDefault="0B74321C" w:rsidP="00D87170">
      <w:pPr>
        <w:pStyle w:val="VDWCbullet1"/>
        <w:rPr>
          <w:rFonts w:eastAsia="Arial" w:cs="Arial"/>
        </w:rPr>
      </w:pPr>
      <w:r>
        <w:t>Informal release of information policy</w:t>
      </w:r>
    </w:p>
    <w:p w14:paraId="1CBFCE17" w14:textId="5FC8BA64" w:rsidR="0B74321C" w:rsidRDefault="0B74321C" w:rsidP="4D3932E3">
      <w:pPr>
        <w:pStyle w:val="VDWCbullet1"/>
      </w:pPr>
      <w:r>
        <w:t>Privacy policy</w:t>
      </w:r>
    </w:p>
    <w:p w14:paraId="7E58EB1F" w14:textId="779DCC72" w:rsidR="009E6528" w:rsidRDefault="00FF24A5" w:rsidP="009E6528">
      <w:pPr>
        <w:pStyle w:val="Heading2"/>
      </w:pPr>
      <w:r>
        <w:t>Compliance</w:t>
      </w:r>
    </w:p>
    <w:p w14:paraId="31EC0176" w14:textId="31F2CEC3" w:rsidR="009E6528" w:rsidRDefault="00FF24A5" w:rsidP="00CE4E2F">
      <w:pPr>
        <w:pStyle w:val="VDWCbody"/>
      </w:pPr>
      <w:r>
        <w:t>This policy complies with all relevan</w:t>
      </w:r>
      <w:r w:rsidR="000B6B1E">
        <w:t>t</w:t>
      </w:r>
      <w:r>
        <w:t xml:space="preserve"> legislation</w:t>
      </w:r>
      <w:r w:rsidR="007F540E">
        <w:t xml:space="preserve"> and VPS policies, in particular</w:t>
      </w:r>
      <w:r w:rsidR="00DC0093">
        <w:t xml:space="preserve">: </w:t>
      </w:r>
    </w:p>
    <w:p w14:paraId="4EE8C6B2" w14:textId="77777777" w:rsidR="00232BAB" w:rsidRPr="00232BAB" w:rsidRDefault="00232BAB" w:rsidP="00232BAB">
      <w:pPr>
        <w:pStyle w:val="VDWCbullet1"/>
        <w:rPr>
          <w:i/>
        </w:rPr>
      </w:pPr>
      <w:r w:rsidRPr="00232BAB">
        <w:rPr>
          <w:i/>
        </w:rPr>
        <w:t>Public Interest Disclosures Act 2012</w:t>
      </w:r>
    </w:p>
    <w:p w14:paraId="531B89C8" w14:textId="77777777" w:rsidR="00232BAB" w:rsidRPr="00232BAB" w:rsidRDefault="00232BAB" w:rsidP="00232BAB">
      <w:pPr>
        <w:pStyle w:val="VDWCbullet1"/>
        <w:rPr>
          <w:i/>
        </w:rPr>
      </w:pPr>
      <w:r w:rsidRPr="00232BAB">
        <w:rPr>
          <w:i/>
        </w:rPr>
        <w:t>Independent Broad-based Anti-corruption Commission Act 2011</w:t>
      </w:r>
    </w:p>
    <w:p w14:paraId="4C8EC566" w14:textId="77777777" w:rsidR="00232BAB" w:rsidRDefault="00232BAB" w:rsidP="00232BAB">
      <w:pPr>
        <w:pStyle w:val="VDWCbullet1"/>
      </w:pPr>
      <w:r w:rsidRPr="4D3932E3">
        <w:rPr>
          <w:i/>
          <w:iCs/>
        </w:rPr>
        <w:t>Freedom of Information Act 1982</w:t>
      </w:r>
    </w:p>
    <w:p w14:paraId="6281A5CE" w14:textId="7F2CC4AF" w:rsidR="00232BAB" w:rsidRDefault="00232BAB" w:rsidP="00232BAB">
      <w:pPr>
        <w:pStyle w:val="VDWCbullet1"/>
      </w:pPr>
      <w:r>
        <w:t>Code of Conduct for Victorian Public Sector Employees</w:t>
      </w:r>
    </w:p>
    <w:p w14:paraId="73827232" w14:textId="6B7D481B" w:rsidR="00533787" w:rsidRDefault="00533787" w:rsidP="00232BAB">
      <w:pPr>
        <w:pStyle w:val="VDWCbullet1"/>
      </w:pPr>
      <w:r w:rsidRPr="00533787">
        <w:t>Code of Conduct for Directors of Victorian Public Entities</w:t>
      </w:r>
    </w:p>
    <w:p w14:paraId="58A5CFBD" w14:textId="2B42134F" w:rsidR="007F540E" w:rsidRPr="00D87170" w:rsidRDefault="007F540E" w:rsidP="00D87170">
      <w:pPr>
        <w:pStyle w:val="Heading1"/>
      </w:pPr>
      <w:r w:rsidRPr="007F540E">
        <w:t>Policy review and currency</w:t>
      </w:r>
    </w:p>
    <w:p w14:paraId="452DBBC7" w14:textId="4E92390E" w:rsidR="00DC3C49" w:rsidRPr="00FF24A5" w:rsidRDefault="007F540E" w:rsidP="00CE4E2F">
      <w:pPr>
        <w:pStyle w:val="VDWCbody"/>
      </w:pPr>
      <w:r w:rsidRPr="00FF24A5">
        <w:t>Th</w:t>
      </w:r>
      <w:r>
        <w:t>is policy will be reviewed annually</w:t>
      </w:r>
      <w:r w:rsidR="00DC3C49">
        <w:t xml:space="preserve"> from the last approved date, or </w:t>
      </w:r>
      <w:r w:rsidR="00484F47">
        <w:t>within six months of any significant legislative change or VPS wide policy change that affects the policy</w:t>
      </w:r>
      <w:r w:rsidR="00DC3C49">
        <w:t>.</w:t>
      </w:r>
    </w:p>
    <w:p w14:paraId="3939DCDF" w14:textId="77777777" w:rsidR="00FF24A5" w:rsidRPr="00FF5C1E" w:rsidRDefault="00FF24A5" w:rsidP="00FF24A5">
      <w:pPr>
        <w:pStyle w:val="Heading3"/>
      </w:pPr>
      <w:r>
        <w:t xml:space="preserve">Version history </w:t>
      </w:r>
    </w:p>
    <w:tbl>
      <w:tblPr>
        <w:tblW w:w="939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4A0" w:firstRow="1" w:lastRow="0" w:firstColumn="1" w:lastColumn="0" w:noHBand="0" w:noVBand="1"/>
      </w:tblPr>
      <w:tblGrid>
        <w:gridCol w:w="2019"/>
        <w:gridCol w:w="2026"/>
        <w:gridCol w:w="1518"/>
        <w:gridCol w:w="1950"/>
        <w:gridCol w:w="1877"/>
      </w:tblGrid>
      <w:tr w:rsidR="00FF24A5" w:rsidRPr="0097513B" w14:paraId="21CE79CD" w14:textId="77777777" w:rsidTr="44E7CCCC">
        <w:tc>
          <w:tcPr>
            <w:tcW w:w="9390" w:type="dxa"/>
            <w:gridSpan w:val="5"/>
            <w:tcBorders>
              <w:top w:val="single" w:sz="4" w:space="0" w:color="808080" w:themeColor="background1" w:themeShade="80"/>
              <w:left w:val="nil"/>
              <w:bottom w:val="single" w:sz="4" w:space="0" w:color="808080" w:themeColor="background1" w:themeShade="80"/>
              <w:right w:val="nil"/>
            </w:tcBorders>
            <w:shd w:val="clear" w:color="auto" w:fill="auto"/>
            <w:hideMark/>
          </w:tcPr>
          <w:p w14:paraId="7BDB295B" w14:textId="77777777" w:rsidR="00FF24A5" w:rsidRPr="00FF5C1E" w:rsidRDefault="00FF24A5" w:rsidP="00CE4E2F">
            <w:pPr>
              <w:pStyle w:val="VDWCtablecolhead"/>
            </w:pPr>
            <w:r w:rsidRPr="0097513B">
              <w:t>Release notice</w:t>
            </w:r>
          </w:p>
        </w:tc>
      </w:tr>
      <w:tr w:rsidR="00FF24A5" w:rsidRPr="0097513B" w14:paraId="6E548CD3" w14:textId="77777777" w:rsidTr="44E7CCCC">
        <w:trPr>
          <w:trHeight w:val="688"/>
        </w:trPr>
        <w:tc>
          <w:tcPr>
            <w:tcW w:w="2019" w:type="dxa"/>
            <w:tcBorders>
              <w:top w:val="single" w:sz="4" w:space="0" w:color="808080" w:themeColor="background1" w:themeShade="80"/>
              <w:left w:val="nil"/>
              <w:bottom w:val="single" w:sz="4" w:space="0" w:color="808080" w:themeColor="background1" w:themeShade="80"/>
              <w:right w:val="nil"/>
            </w:tcBorders>
            <w:shd w:val="clear" w:color="auto" w:fill="auto"/>
            <w:hideMark/>
          </w:tcPr>
          <w:p w14:paraId="09237D20" w14:textId="77777777" w:rsidR="00FF24A5" w:rsidRPr="0097513B" w:rsidRDefault="00FF24A5" w:rsidP="00CE4E2F">
            <w:pPr>
              <w:pStyle w:val="VDWCtablecolhead"/>
            </w:pPr>
            <w:r w:rsidRPr="0097513B">
              <w:t>Version</w:t>
            </w:r>
          </w:p>
        </w:tc>
        <w:tc>
          <w:tcPr>
            <w:tcW w:w="2026" w:type="dxa"/>
            <w:tcBorders>
              <w:top w:val="single" w:sz="4" w:space="0" w:color="808080" w:themeColor="background1" w:themeShade="80"/>
              <w:left w:val="nil"/>
              <w:bottom w:val="single" w:sz="4" w:space="0" w:color="808080" w:themeColor="background1" w:themeShade="80"/>
              <w:right w:val="nil"/>
            </w:tcBorders>
            <w:shd w:val="clear" w:color="auto" w:fill="auto"/>
            <w:hideMark/>
          </w:tcPr>
          <w:p w14:paraId="3183EB53" w14:textId="77777777" w:rsidR="00FF24A5" w:rsidRPr="0097513B" w:rsidRDefault="00FF24A5" w:rsidP="00CE4E2F">
            <w:pPr>
              <w:pStyle w:val="VDWCtablecolhead"/>
            </w:pPr>
            <w:r w:rsidRPr="0097513B">
              <w:t>Date of effect</w:t>
            </w:r>
          </w:p>
        </w:tc>
        <w:tc>
          <w:tcPr>
            <w:tcW w:w="1518" w:type="dxa"/>
            <w:tcBorders>
              <w:top w:val="single" w:sz="4" w:space="0" w:color="808080" w:themeColor="background1" w:themeShade="80"/>
              <w:left w:val="nil"/>
              <w:bottom w:val="single" w:sz="4" w:space="0" w:color="808080" w:themeColor="background1" w:themeShade="80"/>
              <w:right w:val="nil"/>
            </w:tcBorders>
            <w:shd w:val="clear" w:color="auto" w:fill="auto"/>
            <w:hideMark/>
          </w:tcPr>
          <w:p w14:paraId="2CE7998F" w14:textId="77777777" w:rsidR="00FF24A5" w:rsidRPr="0097513B" w:rsidRDefault="00FF24A5" w:rsidP="00CE4E2F">
            <w:pPr>
              <w:pStyle w:val="VDWCtablecolhead"/>
            </w:pPr>
            <w:r w:rsidRPr="0097513B">
              <w:t>Amendment details</w:t>
            </w:r>
          </w:p>
        </w:tc>
        <w:tc>
          <w:tcPr>
            <w:tcW w:w="3827" w:type="dxa"/>
            <w:gridSpan w:val="2"/>
            <w:tcBorders>
              <w:top w:val="single" w:sz="4" w:space="0" w:color="808080" w:themeColor="background1" w:themeShade="80"/>
              <w:left w:val="nil"/>
              <w:bottom w:val="single" w:sz="4" w:space="0" w:color="808080" w:themeColor="background1" w:themeShade="80"/>
              <w:right w:val="nil"/>
            </w:tcBorders>
            <w:shd w:val="clear" w:color="auto" w:fill="auto"/>
            <w:hideMark/>
          </w:tcPr>
          <w:p w14:paraId="4BFAC496" w14:textId="77777777" w:rsidR="00FF24A5" w:rsidRPr="0097513B" w:rsidRDefault="00FF24A5" w:rsidP="00CE4E2F">
            <w:pPr>
              <w:pStyle w:val="VDWCtablecolhead"/>
            </w:pPr>
            <w:r w:rsidRPr="0097513B">
              <w:t>Amended by</w:t>
            </w:r>
          </w:p>
        </w:tc>
      </w:tr>
      <w:tr w:rsidR="00FF24A5" w:rsidRPr="0097513B" w14:paraId="5312E67D" w14:textId="77777777" w:rsidTr="44E7CCCC">
        <w:tc>
          <w:tcPr>
            <w:tcW w:w="2019" w:type="dxa"/>
            <w:tcBorders>
              <w:top w:val="single" w:sz="4" w:space="0" w:color="808080" w:themeColor="background1" w:themeShade="80"/>
              <w:left w:val="nil"/>
              <w:bottom w:val="single" w:sz="4" w:space="0" w:color="auto"/>
              <w:right w:val="nil"/>
            </w:tcBorders>
            <w:hideMark/>
          </w:tcPr>
          <w:p w14:paraId="3CAB6ECB" w14:textId="77777777" w:rsidR="00FF24A5" w:rsidRPr="00263206" w:rsidRDefault="00FF24A5" w:rsidP="00CE4E2F">
            <w:pPr>
              <w:pStyle w:val="VDWCtabletext"/>
              <w:rPr>
                <w:color w:val="000000" w:themeColor="text1"/>
              </w:rPr>
            </w:pPr>
            <w:r w:rsidRPr="00263206">
              <w:rPr>
                <w:color w:val="000000" w:themeColor="text1"/>
              </w:rPr>
              <w:t>1.0</w:t>
            </w:r>
          </w:p>
        </w:tc>
        <w:tc>
          <w:tcPr>
            <w:tcW w:w="2026" w:type="dxa"/>
            <w:tcBorders>
              <w:top w:val="single" w:sz="4" w:space="0" w:color="808080" w:themeColor="background1" w:themeShade="80"/>
              <w:left w:val="nil"/>
              <w:bottom w:val="single" w:sz="4" w:space="0" w:color="auto"/>
              <w:right w:val="nil"/>
            </w:tcBorders>
          </w:tcPr>
          <w:p w14:paraId="17C62A34" w14:textId="1D4A627F" w:rsidR="00FF24A5" w:rsidRPr="00263206" w:rsidRDefault="00263206" w:rsidP="00CE4E2F">
            <w:pPr>
              <w:pStyle w:val="VDWCtabletext"/>
              <w:rPr>
                <w:rFonts w:cs="Arial"/>
                <w:color w:val="000000" w:themeColor="text1"/>
              </w:rPr>
            </w:pPr>
            <w:r w:rsidRPr="00263206">
              <w:rPr>
                <w:color w:val="000000" w:themeColor="text1"/>
              </w:rPr>
              <w:t>02/03/2021</w:t>
            </w:r>
          </w:p>
        </w:tc>
        <w:tc>
          <w:tcPr>
            <w:tcW w:w="1518" w:type="dxa"/>
            <w:tcBorders>
              <w:top w:val="single" w:sz="4" w:space="0" w:color="808080" w:themeColor="background1" w:themeShade="80"/>
              <w:left w:val="nil"/>
              <w:bottom w:val="single" w:sz="4" w:space="0" w:color="auto"/>
              <w:right w:val="nil"/>
            </w:tcBorders>
            <w:hideMark/>
          </w:tcPr>
          <w:p w14:paraId="284DD92B" w14:textId="77777777" w:rsidR="00FF24A5" w:rsidRPr="00263206" w:rsidRDefault="00FF24A5" w:rsidP="00CE4E2F">
            <w:pPr>
              <w:pStyle w:val="VDWCtabletext"/>
              <w:rPr>
                <w:color w:val="000000" w:themeColor="text1"/>
              </w:rPr>
            </w:pPr>
            <w:r w:rsidRPr="00263206">
              <w:rPr>
                <w:color w:val="000000" w:themeColor="text1"/>
              </w:rPr>
              <w:t>Initial release</w:t>
            </w:r>
          </w:p>
        </w:tc>
        <w:tc>
          <w:tcPr>
            <w:tcW w:w="3827" w:type="dxa"/>
            <w:gridSpan w:val="2"/>
            <w:tcBorders>
              <w:top w:val="single" w:sz="4" w:space="0" w:color="808080" w:themeColor="background1" w:themeShade="80"/>
              <w:left w:val="nil"/>
              <w:bottom w:val="single" w:sz="4" w:space="0" w:color="auto"/>
              <w:right w:val="nil"/>
            </w:tcBorders>
          </w:tcPr>
          <w:p w14:paraId="4D911D03" w14:textId="7185BB86" w:rsidR="00FF24A5" w:rsidRPr="0097513B" w:rsidRDefault="00FF24A5" w:rsidP="00CE4E2F">
            <w:pPr>
              <w:pStyle w:val="VDWCtabletext"/>
              <w:rPr>
                <w:rFonts w:cs="Arial"/>
              </w:rPr>
            </w:pPr>
          </w:p>
        </w:tc>
      </w:tr>
      <w:tr w:rsidR="44E7CCCC" w14:paraId="144EF49A" w14:textId="77777777" w:rsidTr="44E7CCCC">
        <w:tc>
          <w:tcPr>
            <w:tcW w:w="2019" w:type="dxa"/>
            <w:tcBorders>
              <w:top w:val="single" w:sz="4" w:space="0" w:color="808080" w:themeColor="background1" w:themeShade="80"/>
              <w:left w:val="nil"/>
              <w:bottom w:val="single" w:sz="4" w:space="0" w:color="auto"/>
              <w:right w:val="nil"/>
            </w:tcBorders>
            <w:hideMark/>
          </w:tcPr>
          <w:p w14:paraId="687FBA14" w14:textId="48F323E8" w:rsidR="261019CA" w:rsidRDefault="261019CA" w:rsidP="00480CF6">
            <w:pPr>
              <w:pStyle w:val="VDWCtabletext"/>
              <w:rPr>
                <w:color w:val="000000" w:themeColor="text1"/>
              </w:rPr>
            </w:pPr>
            <w:r w:rsidRPr="44E7CCCC">
              <w:rPr>
                <w:color w:val="000000" w:themeColor="text1"/>
              </w:rPr>
              <w:t>2.0</w:t>
            </w:r>
          </w:p>
        </w:tc>
        <w:tc>
          <w:tcPr>
            <w:tcW w:w="2026" w:type="dxa"/>
            <w:tcBorders>
              <w:top w:val="single" w:sz="4" w:space="0" w:color="808080" w:themeColor="background1" w:themeShade="80"/>
              <w:left w:val="nil"/>
              <w:bottom w:val="single" w:sz="4" w:space="0" w:color="auto"/>
              <w:right w:val="nil"/>
            </w:tcBorders>
          </w:tcPr>
          <w:p w14:paraId="5BFEA73C" w14:textId="604EE623" w:rsidR="261019CA" w:rsidRDefault="00E177F8" w:rsidP="00480CF6">
            <w:pPr>
              <w:pStyle w:val="VDWCtabletext"/>
              <w:rPr>
                <w:color w:val="000000" w:themeColor="text1"/>
              </w:rPr>
            </w:pPr>
            <w:r>
              <w:rPr>
                <w:color w:val="000000" w:themeColor="text1"/>
              </w:rPr>
              <w:t>24/06/2021</w:t>
            </w:r>
          </w:p>
        </w:tc>
        <w:tc>
          <w:tcPr>
            <w:tcW w:w="1518" w:type="dxa"/>
            <w:tcBorders>
              <w:top w:val="single" w:sz="4" w:space="0" w:color="808080" w:themeColor="background1" w:themeShade="80"/>
              <w:left w:val="nil"/>
              <w:bottom w:val="single" w:sz="4" w:space="0" w:color="auto"/>
              <w:right w:val="nil"/>
            </w:tcBorders>
            <w:hideMark/>
          </w:tcPr>
          <w:p w14:paraId="737001AC" w14:textId="16421AEC" w:rsidR="261019CA" w:rsidRDefault="261019CA" w:rsidP="00480CF6">
            <w:pPr>
              <w:pStyle w:val="VDWCtabletext"/>
              <w:rPr>
                <w:color w:val="000000" w:themeColor="text1"/>
              </w:rPr>
            </w:pPr>
            <w:r w:rsidRPr="44E7CCCC">
              <w:rPr>
                <w:color w:val="000000" w:themeColor="text1"/>
              </w:rPr>
              <w:t>Amended to incorporate Board</w:t>
            </w:r>
            <w:r w:rsidR="00FE7000">
              <w:rPr>
                <w:color w:val="000000" w:themeColor="text1"/>
              </w:rPr>
              <w:t xml:space="preserve"> amendments</w:t>
            </w:r>
          </w:p>
        </w:tc>
        <w:tc>
          <w:tcPr>
            <w:tcW w:w="3827" w:type="dxa"/>
            <w:gridSpan w:val="2"/>
            <w:tcBorders>
              <w:top w:val="single" w:sz="4" w:space="0" w:color="808080" w:themeColor="background1" w:themeShade="80"/>
              <w:left w:val="nil"/>
              <w:bottom w:val="single" w:sz="4" w:space="0" w:color="auto"/>
              <w:right w:val="nil"/>
            </w:tcBorders>
          </w:tcPr>
          <w:p w14:paraId="47CFA0B8" w14:textId="40EEEB71" w:rsidR="261019CA" w:rsidRDefault="261019CA" w:rsidP="00480CF6">
            <w:pPr>
              <w:pStyle w:val="VDWCtabletext"/>
              <w:rPr>
                <w:rFonts w:cs="Arial"/>
              </w:rPr>
            </w:pPr>
            <w:r w:rsidRPr="00480CF6">
              <w:rPr>
                <w:rFonts w:cs="Arial"/>
              </w:rPr>
              <w:t>Legal</w:t>
            </w:r>
            <w:r w:rsidR="00480CF6" w:rsidRPr="00480CF6">
              <w:rPr>
                <w:rFonts w:cs="Arial"/>
              </w:rPr>
              <w:t xml:space="preserve"> team</w:t>
            </w:r>
          </w:p>
        </w:tc>
      </w:tr>
      <w:tr w:rsidR="00FF24A5" w:rsidRPr="0097513B" w14:paraId="3A0AA111" w14:textId="77777777" w:rsidTr="44E7CCCC">
        <w:trPr>
          <w:trHeight w:val="251"/>
        </w:trPr>
        <w:tc>
          <w:tcPr>
            <w:tcW w:w="2019" w:type="dxa"/>
            <w:tcBorders>
              <w:top w:val="single" w:sz="4" w:space="0" w:color="808080" w:themeColor="background1" w:themeShade="80"/>
              <w:left w:val="nil"/>
              <w:bottom w:val="nil"/>
              <w:right w:val="nil"/>
            </w:tcBorders>
            <w:hideMark/>
          </w:tcPr>
          <w:p w14:paraId="1251A3FB" w14:textId="77777777" w:rsidR="00FF24A5" w:rsidRPr="00263206" w:rsidRDefault="00FF24A5" w:rsidP="00CE4E2F">
            <w:pPr>
              <w:pStyle w:val="VDWCtabletext"/>
              <w:rPr>
                <w:color w:val="000000" w:themeColor="text1"/>
              </w:rPr>
            </w:pPr>
            <w:r w:rsidRPr="00263206">
              <w:rPr>
                <w:color w:val="000000" w:themeColor="text1"/>
              </w:rPr>
              <w:t>Record no.:</w:t>
            </w:r>
          </w:p>
        </w:tc>
        <w:tc>
          <w:tcPr>
            <w:tcW w:w="7371" w:type="dxa"/>
            <w:gridSpan w:val="4"/>
            <w:tcBorders>
              <w:top w:val="single" w:sz="4" w:space="0" w:color="808080" w:themeColor="background1" w:themeShade="80"/>
              <w:left w:val="nil"/>
              <w:bottom w:val="nil"/>
              <w:right w:val="nil"/>
            </w:tcBorders>
            <w:hideMark/>
          </w:tcPr>
          <w:p w14:paraId="610C9059" w14:textId="6907269F" w:rsidR="00FF24A5" w:rsidRPr="00263206" w:rsidRDefault="00263206" w:rsidP="00263206">
            <w:pPr>
              <w:pStyle w:val="VDWCtabletext"/>
              <w:rPr>
                <w:color w:val="000000" w:themeColor="text1"/>
                <w:lang w:eastAsia="en-AU"/>
              </w:rPr>
            </w:pPr>
            <w:r w:rsidRPr="00263206">
              <w:rPr>
                <w:color w:val="000000" w:themeColor="text1"/>
                <w:lang w:eastAsia="en-AU"/>
              </w:rPr>
              <w:t>VDWC/D/21/770</w:t>
            </w:r>
          </w:p>
        </w:tc>
      </w:tr>
      <w:tr w:rsidR="00FF24A5" w:rsidRPr="0097513B" w14:paraId="08A5A57A" w14:textId="77777777" w:rsidTr="44E7CCCC">
        <w:tc>
          <w:tcPr>
            <w:tcW w:w="2019" w:type="dxa"/>
            <w:tcBorders>
              <w:top w:val="nil"/>
              <w:left w:val="nil"/>
              <w:bottom w:val="nil"/>
              <w:right w:val="nil"/>
            </w:tcBorders>
            <w:hideMark/>
          </w:tcPr>
          <w:p w14:paraId="44D1D0E2" w14:textId="010F87DC" w:rsidR="00FF24A5" w:rsidRPr="00263206" w:rsidRDefault="346C57EA" w:rsidP="00CE4E2F">
            <w:pPr>
              <w:pStyle w:val="VDWCtabletext"/>
              <w:rPr>
                <w:color w:val="000000" w:themeColor="text1"/>
              </w:rPr>
            </w:pPr>
            <w:r w:rsidRPr="44E7CCCC">
              <w:rPr>
                <w:color w:val="000000" w:themeColor="text1"/>
              </w:rPr>
              <w:t xml:space="preserve">Commission </w:t>
            </w:r>
            <w:r w:rsidR="7C624EE1" w:rsidRPr="44E7CCCC">
              <w:rPr>
                <w:color w:val="000000" w:themeColor="text1"/>
              </w:rPr>
              <w:t>p</w:t>
            </w:r>
            <w:r w:rsidR="00FF24A5" w:rsidRPr="44E7CCCC">
              <w:rPr>
                <w:color w:val="000000" w:themeColor="text1"/>
              </w:rPr>
              <w:t>olicy owner:</w:t>
            </w:r>
          </w:p>
        </w:tc>
        <w:tc>
          <w:tcPr>
            <w:tcW w:w="7371" w:type="dxa"/>
            <w:gridSpan w:val="4"/>
            <w:tcBorders>
              <w:top w:val="nil"/>
              <w:left w:val="nil"/>
              <w:bottom w:val="nil"/>
              <w:right w:val="nil"/>
            </w:tcBorders>
            <w:hideMark/>
          </w:tcPr>
          <w:p w14:paraId="4047416C" w14:textId="3FA7CC6E" w:rsidR="00FF24A5" w:rsidRPr="00263206" w:rsidRDefault="009E6528" w:rsidP="00CE4E2F">
            <w:pPr>
              <w:pStyle w:val="VDWCtabletext"/>
              <w:rPr>
                <w:color w:val="000000" w:themeColor="text1"/>
              </w:rPr>
            </w:pPr>
            <w:r w:rsidRPr="00263206">
              <w:rPr>
                <w:color w:val="000000" w:themeColor="text1"/>
              </w:rPr>
              <w:t>Commissioner</w:t>
            </w:r>
          </w:p>
        </w:tc>
      </w:tr>
      <w:tr w:rsidR="00FF24A5" w:rsidRPr="0097513B" w14:paraId="75649157" w14:textId="77777777" w:rsidTr="44E7CCCC">
        <w:tc>
          <w:tcPr>
            <w:tcW w:w="2019" w:type="dxa"/>
            <w:tcBorders>
              <w:top w:val="nil"/>
              <w:left w:val="nil"/>
              <w:bottom w:val="nil"/>
              <w:right w:val="nil"/>
            </w:tcBorders>
            <w:hideMark/>
          </w:tcPr>
          <w:p w14:paraId="55C9F99C" w14:textId="77777777" w:rsidR="00FF24A5" w:rsidRPr="00263206" w:rsidRDefault="00FF24A5" w:rsidP="00CE4E2F">
            <w:pPr>
              <w:pStyle w:val="VDWCtabletext"/>
              <w:rPr>
                <w:color w:val="000000" w:themeColor="text1"/>
              </w:rPr>
            </w:pPr>
            <w:r w:rsidRPr="00263206">
              <w:rPr>
                <w:color w:val="000000" w:themeColor="text1"/>
              </w:rPr>
              <w:t>Approved by:</w:t>
            </w:r>
          </w:p>
        </w:tc>
        <w:tc>
          <w:tcPr>
            <w:tcW w:w="3544" w:type="dxa"/>
            <w:gridSpan w:val="2"/>
            <w:tcBorders>
              <w:top w:val="nil"/>
              <w:left w:val="nil"/>
              <w:bottom w:val="nil"/>
              <w:right w:val="nil"/>
            </w:tcBorders>
            <w:hideMark/>
          </w:tcPr>
          <w:p w14:paraId="4079A9AB" w14:textId="3294F834" w:rsidR="00FF24A5" w:rsidRPr="00263206" w:rsidRDefault="00FF24A5" w:rsidP="00CE4E2F">
            <w:pPr>
              <w:pStyle w:val="VDWCtabletext"/>
              <w:rPr>
                <w:color w:val="000000" w:themeColor="text1"/>
              </w:rPr>
            </w:pPr>
            <w:r w:rsidRPr="00263206">
              <w:rPr>
                <w:color w:val="000000" w:themeColor="text1"/>
              </w:rPr>
              <w:t>C</w:t>
            </w:r>
            <w:r w:rsidR="00ED6919" w:rsidRPr="00263206">
              <w:rPr>
                <w:color w:val="000000" w:themeColor="text1"/>
              </w:rPr>
              <w:t>ommissioner</w:t>
            </w:r>
          </w:p>
        </w:tc>
        <w:tc>
          <w:tcPr>
            <w:tcW w:w="1950" w:type="dxa"/>
            <w:tcBorders>
              <w:top w:val="nil"/>
              <w:left w:val="nil"/>
              <w:bottom w:val="nil"/>
              <w:right w:val="nil"/>
            </w:tcBorders>
            <w:hideMark/>
          </w:tcPr>
          <w:p w14:paraId="166ED05A" w14:textId="77777777" w:rsidR="00FF24A5" w:rsidRPr="00E177F8" w:rsidRDefault="00FF24A5" w:rsidP="00CE4E2F">
            <w:pPr>
              <w:pStyle w:val="VDWCtabletext"/>
              <w:rPr>
                <w:color w:val="000000" w:themeColor="text1"/>
              </w:rPr>
            </w:pPr>
            <w:r w:rsidRPr="00E177F8">
              <w:rPr>
                <w:color w:val="000000" w:themeColor="text1"/>
              </w:rPr>
              <w:t>Approved on:</w:t>
            </w:r>
          </w:p>
        </w:tc>
        <w:tc>
          <w:tcPr>
            <w:tcW w:w="1877" w:type="dxa"/>
            <w:tcBorders>
              <w:top w:val="nil"/>
              <w:left w:val="nil"/>
              <w:bottom w:val="nil"/>
              <w:right w:val="nil"/>
            </w:tcBorders>
            <w:hideMark/>
          </w:tcPr>
          <w:p w14:paraId="343BCE42" w14:textId="0703A508" w:rsidR="00FF24A5" w:rsidRPr="00E177F8" w:rsidRDefault="00E177F8" w:rsidP="00480CF6">
            <w:pPr>
              <w:pStyle w:val="VDWCtabletext"/>
              <w:spacing w:line="259" w:lineRule="auto"/>
              <w:rPr>
                <w:color w:val="000000" w:themeColor="text1"/>
              </w:rPr>
            </w:pPr>
            <w:r w:rsidRPr="00E177F8">
              <w:rPr>
                <w:color w:val="000000" w:themeColor="text1"/>
              </w:rPr>
              <w:t>09/06/2021</w:t>
            </w:r>
          </w:p>
        </w:tc>
      </w:tr>
      <w:tr w:rsidR="44E7CCCC" w14:paraId="3DE96041" w14:textId="77777777" w:rsidTr="44E7CCCC">
        <w:tc>
          <w:tcPr>
            <w:tcW w:w="2019" w:type="dxa"/>
            <w:tcBorders>
              <w:top w:val="nil"/>
              <w:left w:val="nil"/>
              <w:bottom w:val="nil"/>
              <w:right w:val="nil"/>
            </w:tcBorders>
            <w:hideMark/>
          </w:tcPr>
          <w:p w14:paraId="65CB4997" w14:textId="14811433" w:rsidR="1A2560E6" w:rsidRDefault="1A2560E6" w:rsidP="00480CF6">
            <w:pPr>
              <w:pStyle w:val="VDWCtabletext"/>
              <w:rPr>
                <w:color w:val="000000" w:themeColor="text1"/>
              </w:rPr>
            </w:pPr>
            <w:r w:rsidRPr="44E7CCCC">
              <w:rPr>
                <w:color w:val="000000" w:themeColor="text1"/>
              </w:rPr>
              <w:t>Board policy owner:</w:t>
            </w:r>
          </w:p>
        </w:tc>
        <w:tc>
          <w:tcPr>
            <w:tcW w:w="3544" w:type="dxa"/>
            <w:gridSpan w:val="2"/>
            <w:tcBorders>
              <w:top w:val="nil"/>
              <w:left w:val="nil"/>
              <w:bottom w:val="nil"/>
              <w:right w:val="nil"/>
            </w:tcBorders>
            <w:hideMark/>
          </w:tcPr>
          <w:p w14:paraId="04BE037E" w14:textId="51F3FE48" w:rsidR="1A2560E6" w:rsidRDefault="1A2560E6" w:rsidP="00480CF6">
            <w:pPr>
              <w:pStyle w:val="VDWCtabletext"/>
              <w:rPr>
                <w:color w:val="000000" w:themeColor="text1"/>
              </w:rPr>
            </w:pPr>
            <w:r w:rsidRPr="44E7CCCC">
              <w:rPr>
                <w:color w:val="000000" w:themeColor="text1"/>
              </w:rPr>
              <w:t>Chair</w:t>
            </w:r>
          </w:p>
        </w:tc>
        <w:tc>
          <w:tcPr>
            <w:tcW w:w="1950" w:type="dxa"/>
            <w:tcBorders>
              <w:top w:val="nil"/>
              <w:left w:val="nil"/>
              <w:bottom w:val="nil"/>
              <w:right w:val="nil"/>
            </w:tcBorders>
            <w:hideMark/>
          </w:tcPr>
          <w:p w14:paraId="3DC3118B" w14:textId="7C6EA39A" w:rsidR="44E7CCCC" w:rsidRPr="00E177F8" w:rsidRDefault="44E7CCCC" w:rsidP="00480CF6">
            <w:pPr>
              <w:pStyle w:val="VDWCtabletext"/>
              <w:rPr>
                <w:color w:val="000000" w:themeColor="text1"/>
              </w:rPr>
            </w:pPr>
          </w:p>
        </w:tc>
        <w:tc>
          <w:tcPr>
            <w:tcW w:w="1877" w:type="dxa"/>
            <w:tcBorders>
              <w:top w:val="nil"/>
              <w:left w:val="nil"/>
              <w:bottom w:val="nil"/>
              <w:right w:val="nil"/>
            </w:tcBorders>
            <w:hideMark/>
          </w:tcPr>
          <w:p w14:paraId="7E45ACDD" w14:textId="5D7C8A80" w:rsidR="44E7CCCC" w:rsidRPr="00E177F8" w:rsidRDefault="44E7CCCC" w:rsidP="00480CF6">
            <w:pPr>
              <w:pStyle w:val="VDWCtabletext"/>
              <w:rPr>
                <w:color w:val="000000" w:themeColor="text1"/>
              </w:rPr>
            </w:pPr>
          </w:p>
        </w:tc>
      </w:tr>
      <w:tr w:rsidR="44E7CCCC" w14:paraId="13BD6722" w14:textId="77777777" w:rsidTr="44E7CCCC">
        <w:tc>
          <w:tcPr>
            <w:tcW w:w="2019" w:type="dxa"/>
            <w:tcBorders>
              <w:top w:val="nil"/>
              <w:left w:val="nil"/>
              <w:bottom w:val="nil"/>
              <w:right w:val="nil"/>
            </w:tcBorders>
            <w:hideMark/>
          </w:tcPr>
          <w:p w14:paraId="14F55F62" w14:textId="1E8C88E0" w:rsidR="1A2560E6" w:rsidRDefault="1A2560E6" w:rsidP="00480CF6">
            <w:pPr>
              <w:pStyle w:val="VDWCtabletext"/>
              <w:rPr>
                <w:color w:val="000000" w:themeColor="text1"/>
              </w:rPr>
            </w:pPr>
            <w:r w:rsidRPr="44E7CCCC">
              <w:rPr>
                <w:color w:val="000000" w:themeColor="text1"/>
              </w:rPr>
              <w:t>Approved by:</w:t>
            </w:r>
          </w:p>
        </w:tc>
        <w:tc>
          <w:tcPr>
            <w:tcW w:w="3544" w:type="dxa"/>
            <w:gridSpan w:val="2"/>
            <w:tcBorders>
              <w:top w:val="nil"/>
              <w:left w:val="nil"/>
              <w:bottom w:val="nil"/>
              <w:right w:val="nil"/>
            </w:tcBorders>
            <w:hideMark/>
          </w:tcPr>
          <w:p w14:paraId="11330E40" w14:textId="2213D2A2" w:rsidR="1A2560E6" w:rsidRDefault="1A2560E6" w:rsidP="00480CF6">
            <w:pPr>
              <w:pStyle w:val="VDWCtabletext"/>
              <w:rPr>
                <w:color w:val="000000" w:themeColor="text1"/>
              </w:rPr>
            </w:pPr>
            <w:r w:rsidRPr="44E7CCCC">
              <w:rPr>
                <w:color w:val="000000" w:themeColor="text1"/>
              </w:rPr>
              <w:t>Chair</w:t>
            </w:r>
          </w:p>
        </w:tc>
        <w:tc>
          <w:tcPr>
            <w:tcW w:w="1950" w:type="dxa"/>
            <w:tcBorders>
              <w:top w:val="nil"/>
              <w:left w:val="nil"/>
              <w:bottom w:val="nil"/>
              <w:right w:val="nil"/>
            </w:tcBorders>
            <w:hideMark/>
          </w:tcPr>
          <w:p w14:paraId="116362B4" w14:textId="646AA18D" w:rsidR="1A2560E6" w:rsidRPr="00E177F8" w:rsidRDefault="1A2560E6" w:rsidP="00480CF6">
            <w:pPr>
              <w:pStyle w:val="VDWCtabletext"/>
              <w:rPr>
                <w:color w:val="000000" w:themeColor="text1"/>
              </w:rPr>
            </w:pPr>
            <w:r w:rsidRPr="00E177F8">
              <w:rPr>
                <w:color w:val="000000" w:themeColor="text1"/>
              </w:rPr>
              <w:t>Approved on:</w:t>
            </w:r>
          </w:p>
        </w:tc>
        <w:tc>
          <w:tcPr>
            <w:tcW w:w="1877" w:type="dxa"/>
            <w:tcBorders>
              <w:top w:val="nil"/>
              <w:left w:val="nil"/>
              <w:bottom w:val="nil"/>
              <w:right w:val="nil"/>
            </w:tcBorders>
            <w:hideMark/>
          </w:tcPr>
          <w:p w14:paraId="5CEBF20A" w14:textId="453C8417" w:rsidR="1A2560E6" w:rsidRPr="00E177F8" w:rsidRDefault="00E177F8" w:rsidP="00480CF6">
            <w:pPr>
              <w:pStyle w:val="VDWCtabletext"/>
              <w:rPr>
                <w:color w:val="000000" w:themeColor="text1"/>
              </w:rPr>
            </w:pPr>
            <w:r w:rsidRPr="00E177F8">
              <w:rPr>
                <w:color w:val="000000" w:themeColor="text1"/>
              </w:rPr>
              <w:t>23/06/2021</w:t>
            </w:r>
          </w:p>
        </w:tc>
      </w:tr>
      <w:tr w:rsidR="00FF24A5" w:rsidRPr="0097513B" w14:paraId="1F31F9C9" w14:textId="77777777" w:rsidTr="44E7CCCC">
        <w:tc>
          <w:tcPr>
            <w:tcW w:w="2019" w:type="dxa"/>
            <w:tcBorders>
              <w:top w:val="nil"/>
              <w:left w:val="nil"/>
              <w:bottom w:val="single" w:sz="4" w:space="0" w:color="808080" w:themeColor="background1" w:themeShade="80"/>
              <w:right w:val="nil"/>
            </w:tcBorders>
            <w:hideMark/>
          </w:tcPr>
          <w:p w14:paraId="2E28AEDE" w14:textId="77777777" w:rsidR="00FF24A5" w:rsidRPr="00263206" w:rsidRDefault="00FF24A5" w:rsidP="00CE4E2F">
            <w:pPr>
              <w:pStyle w:val="VDWCtabletext"/>
              <w:rPr>
                <w:color w:val="000000" w:themeColor="text1"/>
              </w:rPr>
            </w:pPr>
            <w:r w:rsidRPr="00263206">
              <w:rPr>
                <w:color w:val="000000" w:themeColor="text1"/>
              </w:rPr>
              <w:t>Next Review Due:</w:t>
            </w:r>
          </w:p>
        </w:tc>
        <w:tc>
          <w:tcPr>
            <w:tcW w:w="3544" w:type="dxa"/>
            <w:gridSpan w:val="2"/>
            <w:tcBorders>
              <w:top w:val="nil"/>
              <w:left w:val="nil"/>
              <w:bottom w:val="single" w:sz="4" w:space="0" w:color="808080" w:themeColor="background1" w:themeShade="80"/>
              <w:right w:val="nil"/>
            </w:tcBorders>
            <w:hideMark/>
          </w:tcPr>
          <w:p w14:paraId="69C942A7" w14:textId="5BA8F0DC" w:rsidR="00FF24A5" w:rsidRPr="00263206" w:rsidRDefault="00533787" w:rsidP="00CE4E2F">
            <w:pPr>
              <w:pStyle w:val="VDWCtabletext"/>
              <w:rPr>
                <w:color w:val="000000" w:themeColor="text1"/>
              </w:rPr>
            </w:pPr>
            <w:r>
              <w:rPr>
                <w:color w:val="000000" w:themeColor="text1"/>
              </w:rPr>
              <w:t>June</w:t>
            </w:r>
            <w:r w:rsidR="00263206" w:rsidRPr="44E7CCCC">
              <w:rPr>
                <w:color w:val="000000" w:themeColor="text1"/>
              </w:rPr>
              <w:t xml:space="preserve"> 2022</w:t>
            </w:r>
          </w:p>
        </w:tc>
        <w:tc>
          <w:tcPr>
            <w:tcW w:w="1950" w:type="dxa"/>
            <w:tcBorders>
              <w:top w:val="nil"/>
              <w:left w:val="nil"/>
              <w:bottom w:val="single" w:sz="4" w:space="0" w:color="808080" w:themeColor="background1" w:themeShade="80"/>
              <w:right w:val="nil"/>
            </w:tcBorders>
          </w:tcPr>
          <w:p w14:paraId="690EEFDC" w14:textId="77777777" w:rsidR="00FF24A5" w:rsidRPr="0097513B" w:rsidRDefault="00FF24A5" w:rsidP="00CE4E2F">
            <w:pPr>
              <w:pStyle w:val="VDWCtabletext"/>
              <w:rPr>
                <w:rFonts w:cs="Arial"/>
              </w:rPr>
            </w:pPr>
          </w:p>
        </w:tc>
        <w:tc>
          <w:tcPr>
            <w:tcW w:w="1877" w:type="dxa"/>
            <w:tcBorders>
              <w:top w:val="nil"/>
              <w:left w:val="nil"/>
              <w:bottom w:val="single" w:sz="4" w:space="0" w:color="808080" w:themeColor="background1" w:themeShade="80"/>
              <w:right w:val="nil"/>
            </w:tcBorders>
          </w:tcPr>
          <w:p w14:paraId="7D14BA0A" w14:textId="77777777" w:rsidR="00FF24A5" w:rsidRPr="0097513B" w:rsidRDefault="00FF24A5" w:rsidP="00CE4E2F">
            <w:pPr>
              <w:pStyle w:val="VDWCtabletext"/>
              <w:rPr>
                <w:rFonts w:cs="Arial"/>
              </w:rPr>
            </w:pPr>
          </w:p>
        </w:tc>
      </w:tr>
    </w:tbl>
    <w:p w14:paraId="01B484BD" w14:textId="636EFADC" w:rsidR="00FF24A5" w:rsidRDefault="00FF24A5" w:rsidP="00DF3B02"/>
    <w:p w14:paraId="5CAC2CF4" w14:textId="62DE9A79" w:rsidR="00DB563B" w:rsidRDefault="00DB563B" w:rsidP="00D87170"/>
    <w:sectPr w:rsidR="00DB563B" w:rsidSect="004013C7">
      <w:headerReference w:type="default" r:id="rId20"/>
      <w:footerReference w:type="default" r:id="rId21"/>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B0588" w14:textId="77777777" w:rsidR="00527CAC" w:rsidRDefault="00527CAC">
      <w:r>
        <w:separator/>
      </w:r>
    </w:p>
  </w:endnote>
  <w:endnote w:type="continuationSeparator" w:id="0">
    <w:p w14:paraId="7886ED69" w14:textId="77777777" w:rsidR="00527CAC" w:rsidRDefault="00527CAC">
      <w:r>
        <w:continuationSeparator/>
      </w:r>
    </w:p>
  </w:endnote>
  <w:endnote w:type="continuationNotice" w:id="1">
    <w:p w14:paraId="4B587DB3" w14:textId="77777777" w:rsidR="00527CAC" w:rsidRDefault="00527C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2D5F" w14:textId="60979CED" w:rsidR="001F78A3" w:rsidRPr="00F65AA9" w:rsidRDefault="001F78A3" w:rsidP="0051568D">
    <w:pPr>
      <w:pStyle w:val="VDWCfooter"/>
    </w:pPr>
    <w:r>
      <w:rPr>
        <w:noProof/>
        <w:lang w:eastAsia="en-AU"/>
      </w:rPr>
      <mc:AlternateContent>
        <mc:Choice Requires="wps">
          <w:drawing>
            <wp:anchor distT="0" distB="0" distL="114300" distR="114300" simplePos="0" relativeHeight="251663360" behindDoc="0" locked="0" layoutInCell="0" allowOverlap="1" wp14:anchorId="336C2AE8" wp14:editId="47694943">
              <wp:simplePos x="0" y="0"/>
              <wp:positionH relativeFrom="page">
                <wp:posOffset>0</wp:posOffset>
              </wp:positionH>
              <wp:positionV relativeFrom="page">
                <wp:posOffset>10189210</wp:posOffset>
              </wp:positionV>
              <wp:extent cx="7560310" cy="311785"/>
              <wp:effectExtent l="0" t="0" r="0" b="12065"/>
              <wp:wrapNone/>
              <wp:docPr id="1" name="MSIPCM19d940ab819fcc7080729bdc"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FA25FF" w14:textId="61D4FE35" w:rsidR="001F78A3" w:rsidRPr="00EE54B1" w:rsidRDefault="001F78A3" w:rsidP="00EE54B1">
                          <w:pPr>
                            <w:jc w:val="center"/>
                            <w:rPr>
                              <w:rFonts w:ascii="Arial Black" w:hAnsi="Arial Black"/>
                              <w:color w:val="000000"/>
                            </w:rPr>
                          </w:pPr>
                          <w:r w:rsidRPr="00EE54B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6C2AE8" id="_x0000_t202" coordsize="21600,21600" o:spt="202" path="m,l,21600r21600,l21600,xe">
              <v:stroke joinstyle="miter"/>
              <v:path gradientshapeok="t" o:connecttype="rect"/>
            </v:shapetype>
            <v:shape id="MSIPCM19d940ab819fcc7080729bdc"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eDtXi6wCAABFBQAADgAAAAAA&#10;AAAAAAAAAAAuAgAAZHJzL2Uyb0RvYy54bWxQSwECLQAUAAYACAAAACEASA1emt8AAAALAQAADwAA&#10;AAAAAAAAAAAAAAAGBQAAZHJzL2Rvd25yZXYueG1sUEsFBgAAAAAEAAQA8wAAABIGAAAAAA==&#10;" o:allowincell="f" filled="f" stroked="f" strokeweight=".5pt">
              <v:textbox inset=",0,,0">
                <w:txbxContent>
                  <w:p w14:paraId="2DFA25FF" w14:textId="61D4FE35" w:rsidR="001F78A3" w:rsidRPr="00EE54B1" w:rsidRDefault="001F78A3" w:rsidP="00EE54B1">
                    <w:pPr>
                      <w:jc w:val="center"/>
                      <w:rPr>
                        <w:rFonts w:ascii="Arial Black" w:hAnsi="Arial Black"/>
                        <w:color w:val="000000"/>
                      </w:rPr>
                    </w:pPr>
                    <w:r w:rsidRPr="00EE54B1">
                      <w:rPr>
                        <w:rFonts w:ascii="Arial Black" w:hAnsi="Arial Black"/>
                        <w:color w:val="000000"/>
                      </w:rPr>
                      <w:t>OFFICIAL</w:t>
                    </w:r>
                  </w:p>
                </w:txbxContent>
              </v:textbox>
              <w10:wrap anchorx="page" anchory="page"/>
            </v:shape>
          </w:pict>
        </mc:Fallback>
      </mc:AlternateContent>
    </w:r>
    <w:r>
      <w:rPr>
        <w:noProof/>
        <w:lang w:eastAsia="en-AU"/>
      </w:rPr>
      <w:drawing>
        <wp:anchor distT="0" distB="0" distL="114300" distR="114300" simplePos="0" relativeHeight="251657216" behindDoc="0" locked="1" layoutInCell="0" allowOverlap="1" wp14:anchorId="61BE9C94" wp14:editId="6889BA45">
          <wp:simplePos x="0" y="0"/>
          <wp:positionH relativeFrom="page">
            <wp:posOffset>4445</wp:posOffset>
          </wp:positionH>
          <wp:positionV relativeFrom="page">
            <wp:posOffset>9897745</wp:posOffset>
          </wp:positionV>
          <wp:extent cx="7546340" cy="790575"/>
          <wp:effectExtent l="0" t="0" r="0" b="0"/>
          <wp:wrapNone/>
          <wp:docPr id="3" name="Picture 14"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6340" cy="790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8486" w14:textId="5303EC18" w:rsidR="001F78A3" w:rsidRDefault="001F78A3">
    <w:pPr>
      <w:pStyle w:val="Footer"/>
    </w:pPr>
    <w:r>
      <w:rPr>
        <w:noProof/>
        <w:lang w:eastAsia="en-AU"/>
      </w:rPr>
      <mc:AlternateContent>
        <mc:Choice Requires="wps">
          <w:drawing>
            <wp:anchor distT="0" distB="0" distL="114300" distR="114300" simplePos="0" relativeHeight="251658242" behindDoc="0" locked="0" layoutInCell="0" allowOverlap="1" wp14:anchorId="0A8ACC62" wp14:editId="37899723">
              <wp:simplePos x="0" y="0"/>
              <wp:positionH relativeFrom="page">
                <wp:posOffset>0</wp:posOffset>
              </wp:positionH>
              <wp:positionV relativeFrom="page">
                <wp:posOffset>10189210</wp:posOffset>
              </wp:positionV>
              <wp:extent cx="7560310" cy="311785"/>
              <wp:effectExtent l="0" t="0" r="0" b="12065"/>
              <wp:wrapNone/>
              <wp:docPr id="4" name="MSIPCM8ee3428a932a1a88e0f1ab8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08487B" w14:textId="5886A15E" w:rsidR="001F78A3" w:rsidRPr="00EE54B1" w:rsidRDefault="001F78A3" w:rsidP="00EE54B1">
                          <w:pPr>
                            <w:jc w:val="center"/>
                            <w:rPr>
                              <w:rFonts w:ascii="Arial Black" w:hAnsi="Arial Black"/>
                              <w:color w:val="000000"/>
                            </w:rPr>
                          </w:pPr>
                          <w:r w:rsidRPr="00EE54B1">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8ACC62" id="_x0000_t202" coordsize="21600,21600" o:spt="202" path="m,l,21600r21600,l21600,xe">
              <v:stroke joinstyle="miter"/>
              <v:path gradientshapeok="t" o:connecttype="rect"/>
            </v:shapetype>
            <v:shape id="MSIPCM8ee3428a932a1a88e0f1ab85"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euHk368CAABMBQAADgAA&#10;AAAAAAAAAAAAAAAuAgAAZHJzL2Uyb0RvYy54bWxQSwECLQAUAAYACAAAACEASA1emt8AAAALAQAA&#10;DwAAAAAAAAAAAAAAAAAJBQAAZHJzL2Rvd25yZXYueG1sUEsFBgAAAAAEAAQA8wAAABUGAAAAAA==&#10;" o:allowincell="f" filled="f" stroked="f" strokeweight=".5pt">
              <v:textbox inset=",0,,0">
                <w:txbxContent>
                  <w:p w14:paraId="1A08487B" w14:textId="5886A15E" w:rsidR="001F78A3" w:rsidRPr="00EE54B1" w:rsidRDefault="001F78A3" w:rsidP="00EE54B1">
                    <w:pPr>
                      <w:jc w:val="center"/>
                      <w:rPr>
                        <w:rFonts w:ascii="Arial Black" w:hAnsi="Arial Black"/>
                        <w:color w:val="000000"/>
                      </w:rPr>
                    </w:pPr>
                    <w:r w:rsidRPr="00EE54B1">
                      <w:rPr>
                        <w:rFonts w:ascii="Arial Black" w:hAnsi="Arial Black"/>
                        <w:color w:val="000000"/>
                      </w:rPr>
                      <w:t>OFFICIAL</w:t>
                    </w:r>
                  </w:p>
                </w:txbxContent>
              </v:textbox>
              <w10:wrap anchorx="page" anchory="page"/>
            </v:shape>
          </w:pict>
        </mc:Fallback>
      </mc:AlternateContent>
    </w:r>
    <w:r w:rsidR="00DC0093">
      <w:t>Public interest disclosures</w:t>
    </w:r>
    <w:r>
      <w:t xml:space="preserve"> policy</w:t>
    </w:r>
    <w:r w:rsidR="00DC0093">
      <w:t xml:space="preserve"> and procedure</w:t>
    </w:r>
  </w:p>
  <w:p w14:paraId="4BCDA52B" w14:textId="5213816D" w:rsidR="001F78A3" w:rsidRPr="00A11421" w:rsidRDefault="001F78A3" w:rsidP="00D87170">
    <w:pPr>
      <w:pStyle w:val="Footer"/>
    </w:pPr>
    <w:r>
      <w:t xml:space="preserve">Page </w:t>
    </w:r>
    <w:r w:rsidRPr="00D87170">
      <w:rPr>
        <w:sz w:val="24"/>
        <w:szCs w:val="24"/>
      </w:rPr>
      <w:fldChar w:fldCharType="begin"/>
    </w:r>
    <w:r w:rsidRPr="00D87170">
      <w:instrText xml:space="preserve"> PAGE </w:instrText>
    </w:r>
    <w:r w:rsidRPr="00D87170">
      <w:rPr>
        <w:sz w:val="24"/>
        <w:szCs w:val="24"/>
      </w:rPr>
      <w:fldChar w:fldCharType="separate"/>
    </w:r>
    <w:r w:rsidR="001019DE">
      <w:rPr>
        <w:noProof/>
      </w:rPr>
      <w:t>10</w:t>
    </w:r>
    <w:r w:rsidRPr="00D87170">
      <w:rPr>
        <w:sz w:val="24"/>
        <w:szCs w:val="24"/>
      </w:rPr>
      <w:fldChar w:fldCharType="end"/>
    </w:r>
    <w:r w:rsidRPr="00D26AD2">
      <w:t xml:space="preserve"> of </w:t>
    </w:r>
    <w:r>
      <w:rPr>
        <w:noProof/>
      </w:rPr>
      <w:fldChar w:fldCharType="begin"/>
    </w:r>
    <w:r>
      <w:rPr>
        <w:noProof/>
      </w:rPr>
      <w:instrText xml:space="preserve"> NUMPAGES  </w:instrText>
    </w:r>
    <w:r>
      <w:rPr>
        <w:noProof/>
      </w:rPr>
      <w:fldChar w:fldCharType="separate"/>
    </w:r>
    <w:r w:rsidR="001019DE">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F733B" w14:textId="77777777" w:rsidR="00527CAC" w:rsidRDefault="00527CAC" w:rsidP="002862F1">
      <w:pPr>
        <w:spacing w:before="120"/>
      </w:pPr>
      <w:r>
        <w:separator/>
      </w:r>
    </w:p>
  </w:footnote>
  <w:footnote w:type="continuationSeparator" w:id="0">
    <w:p w14:paraId="23EF8CDE" w14:textId="77777777" w:rsidR="00527CAC" w:rsidRDefault="00527CAC">
      <w:r>
        <w:continuationSeparator/>
      </w:r>
    </w:p>
  </w:footnote>
  <w:footnote w:type="continuationNotice" w:id="1">
    <w:p w14:paraId="55168980" w14:textId="77777777" w:rsidR="00527CAC" w:rsidRDefault="00527C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C279" w14:textId="4132FC02" w:rsidR="001F78A3" w:rsidRPr="0051568D" w:rsidRDefault="001F78A3" w:rsidP="0051568D">
    <w:pPr>
      <w:pStyle w:val="VDWC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3BAE0CF2"/>
    <w:numStyleLink w:val="ZZNumbersloweralpha"/>
  </w:abstractNum>
  <w:abstractNum w:abstractNumId="1" w15:restartNumberingAfterBreak="0">
    <w:nsid w:val="09570DFE"/>
    <w:multiLevelType w:val="multilevel"/>
    <w:tmpl w:val="D29AF9CA"/>
    <w:styleLink w:val="LDStandardList"/>
    <w:lvl w:ilvl="0">
      <w:start w:val="1"/>
      <w:numFmt w:val="none"/>
      <w:suff w:val="nothing"/>
      <w:lvlText w:val=""/>
      <w:lvlJc w:val="left"/>
      <w:pPr>
        <w:ind w:left="0" w:firstLine="0"/>
      </w:pPr>
    </w:lvl>
    <w:lvl w:ilvl="1">
      <w:start w:val="1"/>
      <w:numFmt w:val="decimal"/>
      <w:lvlText w:val="%2."/>
      <w:lvlJc w:val="left"/>
      <w:pPr>
        <w:tabs>
          <w:tab w:val="num" w:pos="851"/>
        </w:tabs>
        <w:ind w:left="851" w:hanging="851"/>
      </w:pPr>
    </w:lvl>
    <w:lvl w:ilvl="2">
      <w:start w:val="1"/>
      <w:numFmt w:val="decimal"/>
      <w:lvlText w:val="%2.%3"/>
      <w:lvlJc w:val="left"/>
      <w:pPr>
        <w:tabs>
          <w:tab w:val="num" w:pos="1701"/>
        </w:tabs>
        <w:ind w:left="1701" w:hanging="850"/>
      </w:pPr>
    </w:lvl>
    <w:lvl w:ilvl="3">
      <w:start w:val="1"/>
      <w:numFmt w:val="lowerLetter"/>
      <w:lvlText w:val="(%4)"/>
      <w:lvlJc w:val="left"/>
      <w:pPr>
        <w:tabs>
          <w:tab w:val="num" w:pos="2552"/>
        </w:tabs>
        <w:ind w:left="2552" w:hanging="851"/>
      </w:pPr>
    </w:lvl>
    <w:lvl w:ilvl="4">
      <w:start w:val="1"/>
      <w:numFmt w:val="lowerRoman"/>
      <w:lvlText w:val="(%5)"/>
      <w:lvlJc w:val="left"/>
      <w:pPr>
        <w:tabs>
          <w:tab w:val="num" w:pos="3402"/>
        </w:tabs>
        <w:ind w:left="3402" w:hanging="850"/>
      </w:pPr>
    </w:lvl>
    <w:lvl w:ilvl="5">
      <w:start w:val="1"/>
      <w:numFmt w:val="upperLetter"/>
      <w:lvlText w:val="(%6)"/>
      <w:lvlJc w:val="left"/>
      <w:pPr>
        <w:tabs>
          <w:tab w:val="num" w:pos="4253"/>
        </w:tabs>
        <w:ind w:left="4253" w:hanging="851"/>
      </w:pPr>
    </w:lvl>
    <w:lvl w:ilvl="6">
      <w:start w:val="1"/>
      <w:numFmt w:val="upperRoman"/>
      <w:lvlText w:val="(%7)"/>
      <w:lvlJc w:val="left"/>
      <w:pPr>
        <w:tabs>
          <w:tab w:val="num" w:pos="5103"/>
        </w:tabs>
        <w:ind w:left="5103" w:hanging="85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8D43DB"/>
    <w:multiLevelType w:val="multilevel"/>
    <w:tmpl w:val="7F240E1A"/>
    <w:numStyleLink w:val="ZZNumbersdigit"/>
  </w:abstractNum>
  <w:abstractNum w:abstractNumId="3" w15:restartNumberingAfterBreak="0">
    <w:nsid w:val="0BAD2E30"/>
    <w:multiLevelType w:val="multilevel"/>
    <w:tmpl w:val="3BAE0CF2"/>
    <w:styleLink w:val="ZZNumbersloweralpha"/>
    <w:lvl w:ilvl="0">
      <w:start w:val="1"/>
      <w:numFmt w:val="lowerLetter"/>
      <w:pStyle w:val="VDWCnumberloweralpha"/>
      <w:lvlText w:val="(%1)"/>
      <w:lvlJc w:val="left"/>
      <w:pPr>
        <w:tabs>
          <w:tab w:val="num" w:pos="397"/>
        </w:tabs>
        <w:ind w:left="397" w:hanging="397"/>
      </w:pPr>
      <w:rPr>
        <w:rFonts w:hint="default"/>
      </w:rPr>
    </w:lvl>
    <w:lvl w:ilvl="1">
      <w:start w:val="1"/>
      <w:numFmt w:val="lowerLetter"/>
      <w:pStyle w:val="VDW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E6C68D4"/>
    <w:multiLevelType w:val="multilevel"/>
    <w:tmpl w:val="7F240E1A"/>
    <w:styleLink w:val="ZZNumbersdigit"/>
    <w:lvl w:ilvl="0">
      <w:start w:val="1"/>
      <w:numFmt w:val="decimal"/>
      <w:pStyle w:val="VDWCnumberdigit"/>
      <w:lvlText w:val="%1."/>
      <w:lvlJc w:val="left"/>
      <w:pPr>
        <w:tabs>
          <w:tab w:val="num" w:pos="397"/>
        </w:tabs>
        <w:ind w:left="397" w:hanging="397"/>
      </w:pPr>
      <w:rPr>
        <w:rFonts w:hint="default"/>
      </w:rPr>
    </w:lvl>
    <w:lvl w:ilvl="1">
      <w:start w:val="1"/>
      <w:numFmt w:val="decimal"/>
      <w:pStyle w:val="VDWCnumberdigitindent"/>
      <w:lvlText w:val="%2."/>
      <w:lvlJc w:val="left"/>
      <w:pPr>
        <w:tabs>
          <w:tab w:val="num" w:pos="794"/>
        </w:tabs>
        <w:ind w:left="794" w:hanging="397"/>
      </w:pPr>
      <w:rPr>
        <w:rFonts w:hint="default"/>
      </w:rPr>
    </w:lvl>
    <w:lvl w:ilvl="2">
      <w:start w:val="1"/>
      <w:numFmt w:val="bullet"/>
      <w:lvlRestart w:val="0"/>
      <w:pStyle w:val="VDWCbulletafternumbers1"/>
      <w:lvlText w:val="•"/>
      <w:lvlJc w:val="left"/>
      <w:pPr>
        <w:ind w:left="794" w:hanging="397"/>
      </w:pPr>
      <w:rPr>
        <w:rFonts w:ascii="Calibri" w:hAnsi="Calibri" w:hint="default"/>
        <w:color w:val="auto"/>
      </w:rPr>
    </w:lvl>
    <w:lvl w:ilvl="3">
      <w:start w:val="1"/>
      <w:numFmt w:val="bullet"/>
      <w:lvlRestart w:val="0"/>
      <w:pStyle w:val="VDWC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7CA67F02"/>
    <w:styleLink w:val="ZZNumberslowerroman"/>
    <w:lvl w:ilvl="0">
      <w:start w:val="1"/>
      <w:numFmt w:val="lowerRoman"/>
      <w:pStyle w:val="VDWCnumberlowerroman"/>
      <w:lvlText w:val="(%1)"/>
      <w:lvlJc w:val="left"/>
      <w:pPr>
        <w:tabs>
          <w:tab w:val="num" w:pos="397"/>
        </w:tabs>
        <w:ind w:left="397" w:hanging="397"/>
      </w:pPr>
      <w:rPr>
        <w:rFonts w:hint="default"/>
      </w:rPr>
    </w:lvl>
    <w:lvl w:ilvl="1">
      <w:start w:val="1"/>
      <w:numFmt w:val="lowerRoman"/>
      <w:pStyle w:val="VDW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BB346DCC"/>
    <w:styleLink w:val="ZZTablebullets"/>
    <w:lvl w:ilvl="0">
      <w:start w:val="1"/>
      <w:numFmt w:val="bullet"/>
      <w:pStyle w:val="VDWCtablebullet1"/>
      <w:lvlText w:val="•"/>
      <w:lvlJc w:val="left"/>
      <w:pPr>
        <w:ind w:left="227" w:hanging="227"/>
      </w:pPr>
      <w:rPr>
        <w:rFonts w:ascii="Calibri" w:hAnsi="Calibri" w:hint="default"/>
      </w:rPr>
    </w:lvl>
    <w:lvl w:ilvl="1">
      <w:start w:val="1"/>
      <w:numFmt w:val="bullet"/>
      <w:lvlRestart w:val="0"/>
      <w:pStyle w:val="VDWC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015A1E92"/>
    <w:styleLink w:val="ZZBullets"/>
    <w:lvl w:ilvl="0">
      <w:start w:val="1"/>
      <w:numFmt w:val="bullet"/>
      <w:pStyle w:val="VDWCbullet1"/>
      <w:lvlText w:val="•"/>
      <w:lvlJc w:val="left"/>
      <w:pPr>
        <w:ind w:left="284" w:hanging="284"/>
      </w:pPr>
      <w:rPr>
        <w:rFonts w:ascii="Calibri" w:hAnsi="Calibri" w:hint="default"/>
      </w:rPr>
    </w:lvl>
    <w:lvl w:ilvl="1">
      <w:start w:val="1"/>
      <w:numFmt w:val="bullet"/>
      <w:lvlRestart w:val="0"/>
      <w:pStyle w:val="VDWC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48EC0E2A"/>
    <w:styleLink w:val="ZZQuotebullets"/>
    <w:lvl w:ilvl="0">
      <w:start w:val="1"/>
      <w:numFmt w:val="bullet"/>
      <w:pStyle w:val="VDWCquotebullet1"/>
      <w:lvlText w:val="•"/>
      <w:lvlJc w:val="left"/>
      <w:pPr>
        <w:ind w:left="680" w:hanging="283"/>
      </w:pPr>
      <w:rPr>
        <w:rFonts w:ascii="Calibri" w:hAnsi="Calibri" w:hint="default"/>
        <w:color w:val="auto"/>
      </w:rPr>
    </w:lvl>
    <w:lvl w:ilvl="1">
      <w:start w:val="1"/>
      <w:numFmt w:val="bullet"/>
      <w:lvlRestart w:val="0"/>
      <w:pStyle w:val="VDWC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8"/>
  </w:num>
  <w:num w:numId="6">
    <w:abstractNumId w:val="5"/>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75C"/>
    <w:rsid w:val="00004391"/>
    <w:rsid w:val="000072B6"/>
    <w:rsid w:val="000078BA"/>
    <w:rsid w:val="0001021B"/>
    <w:rsid w:val="00011D89"/>
    <w:rsid w:val="00012E11"/>
    <w:rsid w:val="0001415E"/>
    <w:rsid w:val="000154FD"/>
    <w:rsid w:val="00024D89"/>
    <w:rsid w:val="000250B6"/>
    <w:rsid w:val="00033D81"/>
    <w:rsid w:val="00041BF0"/>
    <w:rsid w:val="0004536B"/>
    <w:rsid w:val="00046B68"/>
    <w:rsid w:val="000527DD"/>
    <w:rsid w:val="000578B2"/>
    <w:rsid w:val="00060959"/>
    <w:rsid w:val="000663CD"/>
    <w:rsid w:val="000733FE"/>
    <w:rsid w:val="00074219"/>
    <w:rsid w:val="00074ED5"/>
    <w:rsid w:val="0008508E"/>
    <w:rsid w:val="0009113B"/>
    <w:rsid w:val="00093402"/>
    <w:rsid w:val="00094DA3"/>
    <w:rsid w:val="00095E83"/>
    <w:rsid w:val="00096CD1"/>
    <w:rsid w:val="000A012C"/>
    <w:rsid w:val="000A0EB9"/>
    <w:rsid w:val="000A186C"/>
    <w:rsid w:val="000A1EA4"/>
    <w:rsid w:val="000A7DF5"/>
    <w:rsid w:val="000B3E19"/>
    <w:rsid w:val="000B3EDB"/>
    <w:rsid w:val="000B543D"/>
    <w:rsid w:val="000B5BF7"/>
    <w:rsid w:val="000B6575"/>
    <w:rsid w:val="000B6B1E"/>
    <w:rsid w:val="000B6BC8"/>
    <w:rsid w:val="000B724D"/>
    <w:rsid w:val="000C0303"/>
    <w:rsid w:val="000C13E8"/>
    <w:rsid w:val="000C3184"/>
    <w:rsid w:val="000C42EA"/>
    <w:rsid w:val="000C4546"/>
    <w:rsid w:val="000D1242"/>
    <w:rsid w:val="000D2783"/>
    <w:rsid w:val="000E0970"/>
    <w:rsid w:val="000E3CC7"/>
    <w:rsid w:val="000E6BD4"/>
    <w:rsid w:val="000F1F1E"/>
    <w:rsid w:val="000F2259"/>
    <w:rsid w:val="001019DE"/>
    <w:rsid w:val="0010392D"/>
    <w:rsid w:val="0010447F"/>
    <w:rsid w:val="00104FE3"/>
    <w:rsid w:val="00112867"/>
    <w:rsid w:val="00112992"/>
    <w:rsid w:val="00113E0F"/>
    <w:rsid w:val="00113ED7"/>
    <w:rsid w:val="001208BE"/>
    <w:rsid w:val="00120BD3"/>
    <w:rsid w:val="00122FEA"/>
    <w:rsid w:val="001232BD"/>
    <w:rsid w:val="00124ED5"/>
    <w:rsid w:val="001276FA"/>
    <w:rsid w:val="001411E6"/>
    <w:rsid w:val="001431D1"/>
    <w:rsid w:val="001447B3"/>
    <w:rsid w:val="00152073"/>
    <w:rsid w:val="00154E82"/>
    <w:rsid w:val="00156598"/>
    <w:rsid w:val="00161939"/>
    <w:rsid w:val="00161AA0"/>
    <w:rsid w:val="00162093"/>
    <w:rsid w:val="0016755D"/>
    <w:rsid w:val="00170F02"/>
    <w:rsid w:val="00172BAF"/>
    <w:rsid w:val="00172D62"/>
    <w:rsid w:val="0017302F"/>
    <w:rsid w:val="001771DD"/>
    <w:rsid w:val="0017777D"/>
    <w:rsid w:val="00177995"/>
    <w:rsid w:val="00177A8C"/>
    <w:rsid w:val="00186B33"/>
    <w:rsid w:val="00192F9D"/>
    <w:rsid w:val="00196EB8"/>
    <w:rsid w:val="00196EFB"/>
    <w:rsid w:val="001979FF"/>
    <w:rsid w:val="00197B17"/>
    <w:rsid w:val="001A1C54"/>
    <w:rsid w:val="001A3ACE"/>
    <w:rsid w:val="001A4562"/>
    <w:rsid w:val="001C277E"/>
    <w:rsid w:val="001C2A72"/>
    <w:rsid w:val="001C2D9F"/>
    <w:rsid w:val="001C3DE1"/>
    <w:rsid w:val="001C5C5A"/>
    <w:rsid w:val="001D01D1"/>
    <w:rsid w:val="001D0B75"/>
    <w:rsid w:val="001D224A"/>
    <w:rsid w:val="001D3C09"/>
    <w:rsid w:val="001D44E8"/>
    <w:rsid w:val="001D60EC"/>
    <w:rsid w:val="001D7904"/>
    <w:rsid w:val="001E44DF"/>
    <w:rsid w:val="001E68A5"/>
    <w:rsid w:val="001E6BB0"/>
    <w:rsid w:val="001F3826"/>
    <w:rsid w:val="001F64C3"/>
    <w:rsid w:val="001F6E46"/>
    <w:rsid w:val="001F78A3"/>
    <w:rsid w:val="001F7C91"/>
    <w:rsid w:val="00206463"/>
    <w:rsid w:val="00206F2F"/>
    <w:rsid w:val="0021053D"/>
    <w:rsid w:val="00210A92"/>
    <w:rsid w:val="00210BE9"/>
    <w:rsid w:val="00216C03"/>
    <w:rsid w:val="00217199"/>
    <w:rsid w:val="00220C04"/>
    <w:rsid w:val="0022278D"/>
    <w:rsid w:val="0022701F"/>
    <w:rsid w:val="00232BAB"/>
    <w:rsid w:val="002333F5"/>
    <w:rsid w:val="00233724"/>
    <w:rsid w:val="00233CF0"/>
    <w:rsid w:val="002432E1"/>
    <w:rsid w:val="00244CE5"/>
    <w:rsid w:val="00246207"/>
    <w:rsid w:val="00246C5E"/>
    <w:rsid w:val="00251343"/>
    <w:rsid w:val="002536A4"/>
    <w:rsid w:val="00254F58"/>
    <w:rsid w:val="00261705"/>
    <w:rsid w:val="002620BC"/>
    <w:rsid w:val="00262802"/>
    <w:rsid w:val="00263206"/>
    <w:rsid w:val="00263A90"/>
    <w:rsid w:val="0026408B"/>
    <w:rsid w:val="00267C3E"/>
    <w:rsid w:val="00270440"/>
    <w:rsid w:val="002709BB"/>
    <w:rsid w:val="0027127A"/>
    <w:rsid w:val="00273BAC"/>
    <w:rsid w:val="002763B3"/>
    <w:rsid w:val="00276D26"/>
    <w:rsid w:val="002802E3"/>
    <w:rsid w:val="00281399"/>
    <w:rsid w:val="0028213D"/>
    <w:rsid w:val="00285F34"/>
    <w:rsid w:val="002862F1"/>
    <w:rsid w:val="00291373"/>
    <w:rsid w:val="00293995"/>
    <w:rsid w:val="0029597D"/>
    <w:rsid w:val="002962C3"/>
    <w:rsid w:val="0029752B"/>
    <w:rsid w:val="002A0A74"/>
    <w:rsid w:val="002A483C"/>
    <w:rsid w:val="002A62D6"/>
    <w:rsid w:val="002B0C7C"/>
    <w:rsid w:val="002B1729"/>
    <w:rsid w:val="002B36C7"/>
    <w:rsid w:val="002B373A"/>
    <w:rsid w:val="002B4DD4"/>
    <w:rsid w:val="002B5277"/>
    <w:rsid w:val="002B5375"/>
    <w:rsid w:val="002B77C1"/>
    <w:rsid w:val="002C2728"/>
    <w:rsid w:val="002D20E8"/>
    <w:rsid w:val="002D5006"/>
    <w:rsid w:val="002E01D0"/>
    <w:rsid w:val="002E161D"/>
    <w:rsid w:val="002E3100"/>
    <w:rsid w:val="002E6C95"/>
    <w:rsid w:val="002E7C36"/>
    <w:rsid w:val="002F0954"/>
    <w:rsid w:val="002F2D4E"/>
    <w:rsid w:val="002F5F31"/>
    <w:rsid w:val="002F5F46"/>
    <w:rsid w:val="00300EA6"/>
    <w:rsid w:val="00302216"/>
    <w:rsid w:val="00303E53"/>
    <w:rsid w:val="00304942"/>
    <w:rsid w:val="003060C9"/>
    <w:rsid w:val="00306E5F"/>
    <w:rsid w:val="00307E14"/>
    <w:rsid w:val="00314054"/>
    <w:rsid w:val="00315EC2"/>
    <w:rsid w:val="00316F27"/>
    <w:rsid w:val="00322E4B"/>
    <w:rsid w:val="0032528D"/>
    <w:rsid w:val="003258C9"/>
    <w:rsid w:val="00327870"/>
    <w:rsid w:val="0033259D"/>
    <w:rsid w:val="003333D2"/>
    <w:rsid w:val="00335C6E"/>
    <w:rsid w:val="0033744E"/>
    <w:rsid w:val="003406C6"/>
    <w:rsid w:val="003418CC"/>
    <w:rsid w:val="003459BD"/>
    <w:rsid w:val="00347B66"/>
    <w:rsid w:val="00350D38"/>
    <w:rsid w:val="00351B36"/>
    <w:rsid w:val="00357B4E"/>
    <w:rsid w:val="003716FD"/>
    <w:rsid w:val="0037204B"/>
    <w:rsid w:val="003744CF"/>
    <w:rsid w:val="00374717"/>
    <w:rsid w:val="0037676C"/>
    <w:rsid w:val="0037736E"/>
    <w:rsid w:val="00381043"/>
    <w:rsid w:val="00382528"/>
    <w:rsid w:val="003829E5"/>
    <w:rsid w:val="00385F90"/>
    <w:rsid w:val="003956CC"/>
    <w:rsid w:val="00395C9A"/>
    <w:rsid w:val="003A040A"/>
    <w:rsid w:val="003A6B67"/>
    <w:rsid w:val="003B13B6"/>
    <w:rsid w:val="003B15E6"/>
    <w:rsid w:val="003C08A2"/>
    <w:rsid w:val="003C0D8E"/>
    <w:rsid w:val="003C2045"/>
    <w:rsid w:val="003C43A1"/>
    <w:rsid w:val="003C4FC0"/>
    <w:rsid w:val="003C55F4"/>
    <w:rsid w:val="003C7897"/>
    <w:rsid w:val="003C7A3F"/>
    <w:rsid w:val="003D0954"/>
    <w:rsid w:val="003D2766"/>
    <w:rsid w:val="003D3E8F"/>
    <w:rsid w:val="003D5CF2"/>
    <w:rsid w:val="003D6475"/>
    <w:rsid w:val="003E375C"/>
    <w:rsid w:val="003E4086"/>
    <w:rsid w:val="003E7AEB"/>
    <w:rsid w:val="003F0445"/>
    <w:rsid w:val="003F08AC"/>
    <w:rsid w:val="003F0CF0"/>
    <w:rsid w:val="003F14B1"/>
    <w:rsid w:val="003F3289"/>
    <w:rsid w:val="003F66B4"/>
    <w:rsid w:val="004013C7"/>
    <w:rsid w:val="00401FCF"/>
    <w:rsid w:val="00406285"/>
    <w:rsid w:val="004148F9"/>
    <w:rsid w:val="0042084E"/>
    <w:rsid w:val="00421EEF"/>
    <w:rsid w:val="00424D65"/>
    <w:rsid w:val="00442C6C"/>
    <w:rsid w:val="00443070"/>
    <w:rsid w:val="00443CBE"/>
    <w:rsid w:val="00443E8A"/>
    <w:rsid w:val="004441BC"/>
    <w:rsid w:val="004468B4"/>
    <w:rsid w:val="00450009"/>
    <w:rsid w:val="00450649"/>
    <w:rsid w:val="0045230A"/>
    <w:rsid w:val="00457337"/>
    <w:rsid w:val="00460496"/>
    <w:rsid w:val="00460FC1"/>
    <w:rsid w:val="0046181E"/>
    <w:rsid w:val="00462A53"/>
    <w:rsid w:val="0047372D"/>
    <w:rsid w:val="00473BA3"/>
    <w:rsid w:val="004743DD"/>
    <w:rsid w:val="00474CEA"/>
    <w:rsid w:val="00480CBC"/>
    <w:rsid w:val="00480CF6"/>
    <w:rsid w:val="00483968"/>
    <w:rsid w:val="004844E5"/>
    <w:rsid w:val="00484F47"/>
    <w:rsid w:val="00484F86"/>
    <w:rsid w:val="00490746"/>
    <w:rsid w:val="00490852"/>
    <w:rsid w:val="0049131D"/>
    <w:rsid w:val="00492F30"/>
    <w:rsid w:val="004946F4"/>
    <w:rsid w:val="0049487E"/>
    <w:rsid w:val="004A00E1"/>
    <w:rsid w:val="004A160D"/>
    <w:rsid w:val="004A3E81"/>
    <w:rsid w:val="004A5184"/>
    <w:rsid w:val="004A5C62"/>
    <w:rsid w:val="004A707D"/>
    <w:rsid w:val="004B1AC1"/>
    <w:rsid w:val="004B52B5"/>
    <w:rsid w:val="004C5060"/>
    <w:rsid w:val="004C6EEE"/>
    <w:rsid w:val="004C702B"/>
    <w:rsid w:val="004D0033"/>
    <w:rsid w:val="004D016B"/>
    <w:rsid w:val="004D1B22"/>
    <w:rsid w:val="004D36F2"/>
    <w:rsid w:val="004D5E89"/>
    <w:rsid w:val="004E1106"/>
    <w:rsid w:val="004E138F"/>
    <w:rsid w:val="004E272F"/>
    <w:rsid w:val="004E28D2"/>
    <w:rsid w:val="004E43F0"/>
    <w:rsid w:val="004E4649"/>
    <w:rsid w:val="004E5C2B"/>
    <w:rsid w:val="004E6026"/>
    <w:rsid w:val="004F00DD"/>
    <w:rsid w:val="004F2133"/>
    <w:rsid w:val="004F55F1"/>
    <w:rsid w:val="004F6936"/>
    <w:rsid w:val="00500F50"/>
    <w:rsid w:val="00503DC6"/>
    <w:rsid w:val="00504D90"/>
    <w:rsid w:val="00506F34"/>
    <w:rsid w:val="00506F5D"/>
    <w:rsid w:val="00510C37"/>
    <w:rsid w:val="005126D0"/>
    <w:rsid w:val="0051568D"/>
    <w:rsid w:val="00521E7A"/>
    <w:rsid w:val="00526953"/>
    <w:rsid w:val="00526C15"/>
    <w:rsid w:val="00527CAC"/>
    <w:rsid w:val="00533787"/>
    <w:rsid w:val="00534FD9"/>
    <w:rsid w:val="00536499"/>
    <w:rsid w:val="00543903"/>
    <w:rsid w:val="00543F11"/>
    <w:rsid w:val="00546305"/>
    <w:rsid w:val="00547A95"/>
    <w:rsid w:val="00550A17"/>
    <w:rsid w:val="00552F7A"/>
    <w:rsid w:val="005716D1"/>
    <w:rsid w:val="00572031"/>
    <w:rsid w:val="00572282"/>
    <w:rsid w:val="00574C13"/>
    <w:rsid w:val="00576E84"/>
    <w:rsid w:val="00582B8C"/>
    <w:rsid w:val="00583D93"/>
    <w:rsid w:val="00586EF1"/>
    <w:rsid w:val="0058757E"/>
    <w:rsid w:val="00590CCF"/>
    <w:rsid w:val="00592851"/>
    <w:rsid w:val="00596A4B"/>
    <w:rsid w:val="00597507"/>
    <w:rsid w:val="00597865"/>
    <w:rsid w:val="005A2E07"/>
    <w:rsid w:val="005A6392"/>
    <w:rsid w:val="005B1C6D"/>
    <w:rsid w:val="005B21B6"/>
    <w:rsid w:val="005B3A08"/>
    <w:rsid w:val="005B4645"/>
    <w:rsid w:val="005B653E"/>
    <w:rsid w:val="005B7A63"/>
    <w:rsid w:val="005C0955"/>
    <w:rsid w:val="005C49DA"/>
    <w:rsid w:val="005C50F3"/>
    <w:rsid w:val="005C54B5"/>
    <w:rsid w:val="005C5D80"/>
    <w:rsid w:val="005C5D91"/>
    <w:rsid w:val="005D07B8"/>
    <w:rsid w:val="005D2B9C"/>
    <w:rsid w:val="005D6597"/>
    <w:rsid w:val="005E14E7"/>
    <w:rsid w:val="005E26A3"/>
    <w:rsid w:val="005E415E"/>
    <w:rsid w:val="005E447E"/>
    <w:rsid w:val="005F036D"/>
    <w:rsid w:val="005F0775"/>
    <w:rsid w:val="005F0CF5"/>
    <w:rsid w:val="005F21EB"/>
    <w:rsid w:val="006001D6"/>
    <w:rsid w:val="00601C8D"/>
    <w:rsid w:val="00605908"/>
    <w:rsid w:val="00610D7C"/>
    <w:rsid w:val="00613414"/>
    <w:rsid w:val="00620154"/>
    <w:rsid w:val="006232C1"/>
    <w:rsid w:val="00623C8C"/>
    <w:rsid w:val="0062408D"/>
    <w:rsid w:val="006240CC"/>
    <w:rsid w:val="006254F8"/>
    <w:rsid w:val="006268CD"/>
    <w:rsid w:val="00627DA7"/>
    <w:rsid w:val="006338A8"/>
    <w:rsid w:val="006358B4"/>
    <w:rsid w:val="006419AA"/>
    <w:rsid w:val="00644B1F"/>
    <w:rsid w:val="00644B7E"/>
    <w:rsid w:val="006454E6"/>
    <w:rsid w:val="00646235"/>
    <w:rsid w:val="00646A68"/>
    <w:rsid w:val="006505BD"/>
    <w:rsid w:val="0065092E"/>
    <w:rsid w:val="0065094A"/>
    <w:rsid w:val="00650B52"/>
    <w:rsid w:val="006557A7"/>
    <w:rsid w:val="00656290"/>
    <w:rsid w:val="006621D7"/>
    <w:rsid w:val="0066302A"/>
    <w:rsid w:val="00667770"/>
    <w:rsid w:val="00670597"/>
    <w:rsid w:val="006706D0"/>
    <w:rsid w:val="00677574"/>
    <w:rsid w:val="00680F37"/>
    <w:rsid w:val="00681F1A"/>
    <w:rsid w:val="0068454C"/>
    <w:rsid w:val="00691B62"/>
    <w:rsid w:val="006933B5"/>
    <w:rsid w:val="00693D14"/>
    <w:rsid w:val="006A18C2"/>
    <w:rsid w:val="006A677E"/>
    <w:rsid w:val="006B077C"/>
    <w:rsid w:val="006B0C3D"/>
    <w:rsid w:val="006B5D0F"/>
    <w:rsid w:val="006B6803"/>
    <w:rsid w:val="006C58D2"/>
    <w:rsid w:val="006D0F16"/>
    <w:rsid w:val="006D2A3F"/>
    <w:rsid w:val="006D2FBC"/>
    <w:rsid w:val="006D7670"/>
    <w:rsid w:val="006E0364"/>
    <w:rsid w:val="006E138B"/>
    <w:rsid w:val="006E3296"/>
    <w:rsid w:val="006E3DCB"/>
    <w:rsid w:val="006F1FDC"/>
    <w:rsid w:val="006F3419"/>
    <w:rsid w:val="006F6B8C"/>
    <w:rsid w:val="006F747A"/>
    <w:rsid w:val="006F7834"/>
    <w:rsid w:val="007013EF"/>
    <w:rsid w:val="00715BC3"/>
    <w:rsid w:val="007173CA"/>
    <w:rsid w:val="007216AA"/>
    <w:rsid w:val="00721AB5"/>
    <w:rsid w:val="00721CFB"/>
    <w:rsid w:val="00721DEF"/>
    <w:rsid w:val="007220A4"/>
    <w:rsid w:val="00724A43"/>
    <w:rsid w:val="007346E4"/>
    <w:rsid w:val="0073611C"/>
    <w:rsid w:val="00740F22"/>
    <w:rsid w:val="00741F1A"/>
    <w:rsid w:val="007450F8"/>
    <w:rsid w:val="0074696E"/>
    <w:rsid w:val="00750135"/>
    <w:rsid w:val="00750EC2"/>
    <w:rsid w:val="00752B28"/>
    <w:rsid w:val="00754E36"/>
    <w:rsid w:val="00757175"/>
    <w:rsid w:val="00763139"/>
    <w:rsid w:val="00770F37"/>
    <w:rsid w:val="007711A0"/>
    <w:rsid w:val="0077205F"/>
    <w:rsid w:val="00772D5E"/>
    <w:rsid w:val="00776928"/>
    <w:rsid w:val="00777240"/>
    <w:rsid w:val="007775C4"/>
    <w:rsid w:val="00785677"/>
    <w:rsid w:val="00786F16"/>
    <w:rsid w:val="0078722D"/>
    <w:rsid w:val="00787E11"/>
    <w:rsid w:val="00791BD7"/>
    <w:rsid w:val="007933F7"/>
    <w:rsid w:val="00793F57"/>
    <w:rsid w:val="00796E20"/>
    <w:rsid w:val="00797C32"/>
    <w:rsid w:val="007A11E8"/>
    <w:rsid w:val="007A530D"/>
    <w:rsid w:val="007B0914"/>
    <w:rsid w:val="007B1374"/>
    <w:rsid w:val="007B589F"/>
    <w:rsid w:val="007B6186"/>
    <w:rsid w:val="007B73BC"/>
    <w:rsid w:val="007C00D2"/>
    <w:rsid w:val="007C20B9"/>
    <w:rsid w:val="007C7301"/>
    <w:rsid w:val="007C7859"/>
    <w:rsid w:val="007D2BDE"/>
    <w:rsid w:val="007D2FB6"/>
    <w:rsid w:val="007D49EB"/>
    <w:rsid w:val="007D5B7C"/>
    <w:rsid w:val="007E0DE2"/>
    <w:rsid w:val="007E3B98"/>
    <w:rsid w:val="007E417A"/>
    <w:rsid w:val="007F0E3A"/>
    <w:rsid w:val="007F155F"/>
    <w:rsid w:val="007F31B6"/>
    <w:rsid w:val="007F540E"/>
    <w:rsid w:val="007F546C"/>
    <w:rsid w:val="007F625F"/>
    <w:rsid w:val="007F665E"/>
    <w:rsid w:val="008003C0"/>
    <w:rsid w:val="00800412"/>
    <w:rsid w:val="00803E9E"/>
    <w:rsid w:val="0080587B"/>
    <w:rsid w:val="00806468"/>
    <w:rsid w:val="00807D58"/>
    <w:rsid w:val="0081092E"/>
    <w:rsid w:val="00814FBE"/>
    <w:rsid w:val="008155F0"/>
    <w:rsid w:val="00816735"/>
    <w:rsid w:val="00820141"/>
    <w:rsid w:val="00820E0C"/>
    <w:rsid w:val="0082366F"/>
    <w:rsid w:val="00826F5D"/>
    <w:rsid w:val="008275C5"/>
    <w:rsid w:val="008333C0"/>
    <w:rsid w:val="008338A2"/>
    <w:rsid w:val="00834A18"/>
    <w:rsid w:val="0083601F"/>
    <w:rsid w:val="00837DE5"/>
    <w:rsid w:val="00841AA9"/>
    <w:rsid w:val="00847CF0"/>
    <w:rsid w:val="00847DCD"/>
    <w:rsid w:val="00853EE4"/>
    <w:rsid w:val="00855535"/>
    <w:rsid w:val="00857C5A"/>
    <w:rsid w:val="0086255E"/>
    <w:rsid w:val="008633F0"/>
    <w:rsid w:val="00867965"/>
    <w:rsid w:val="00867D9D"/>
    <w:rsid w:val="00871CAE"/>
    <w:rsid w:val="00872E0A"/>
    <w:rsid w:val="00875285"/>
    <w:rsid w:val="00884B62"/>
    <w:rsid w:val="0088529C"/>
    <w:rsid w:val="00886B3F"/>
    <w:rsid w:val="00887903"/>
    <w:rsid w:val="0089270A"/>
    <w:rsid w:val="00893AF6"/>
    <w:rsid w:val="00894BC4"/>
    <w:rsid w:val="00896833"/>
    <w:rsid w:val="008A28A8"/>
    <w:rsid w:val="008A5B32"/>
    <w:rsid w:val="008A6649"/>
    <w:rsid w:val="008B2EE4"/>
    <w:rsid w:val="008B3D68"/>
    <w:rsid w:val="008B4D3D"/>
    <w:rsid w:val="008B57C7"/>
    <w:rsid w:val="008C0A49"/>
    <w:rsid w:val="008C2F92"/>
    <w:rsid w:val="008C5E01"/>
    <w:rsid w:val="008C65D9"/>
    <w:rsid w:val="008D2846"/>
    <w:rsid w:val="008D3B8A"/>
    <w:rsid w:val="008D4236"/>
    <w:rsid w:val="008D462F"/>
    <w:rsid w:val="008D6DCF"/>
    <w:rsid w:val="008E4376"/>
    <w:rsid w:val="008E6CC1"/>
    <w:rsid w:val="008E7A0A"/>
    <w:rsid w:val="008E7B49"/>
    <w:rsid w:val="008F59F6"/>
    <w:rsid w:val="00900719"/>
    <w:rsid w:val="009017AC"/>
    <w:rsid w:val="00903289"/>
    <w:rsid w:val="00904A1C"/>
    <w:rsid w:val="00905030"/>
    <w:rsid w:val="00906490"/>
    <w:rsid w:val="009111B2"/>
    <w:rsid w:val="00924ABC"/>
    <w:rsid w:val="00924AE1"/>
    <w:rsid w:val="009269B1"/>
    <w:rsid w:val="0092724D"/>
    <w:rsid w:val="0093338F"/>
    <w:rsid w:val="00937BD9"/>
    <w:rsid w:val="00942CB6"/>
    <w:rsid w:val="00950E2C"/>
    <w:rsid w:val="00951D50"/>
    <w:rsid w:val="009525EB"/>
    <w:rsid w:val="00954874"/>
    <w:rsid w:val="00956558"/>
    <w:rsid w:val="00961400"/>
    <w:rsid w:val="00963646"/>
    <w:rsid w:val="00964FB5"/>
    <w:rsid w:val="00965AE8"/>
    <w:rsid w:val="0096632D"/>
    <w:rsid w:val="0097559F"/>
    <w:rsid w:val="009853E1"/>
    <w:rsid w:val="00986E6B"/>
    <w:rsid w:val="00991769"/>
    <w:rsid w:val="0099215C"/>
    <w:rsid w:val="00994386"/>
    <w:rsid w:val="0099555B"/>
    <w:rsid w:val="009A13D8"/>
    <w:rsid w:val="009A279E"/>
    <w:rsid w:val="009A4E24"/>
    <w:rsid w:val="009B0A6F"/>
    <w:rsid w:val="009B0A94"/>
    <w:rsid w:val="009B10A4"/>
    <w:rsid w:val="009B1A8E"/>
    <w:rsid w:val="009B29EE"/>
    <w:rsid w:val="009B59E9"/>
    <w:rsid w:val="009B70AA"/>
    <w:rsid w:val="009C58FA"/>
    <w:rsid w:val="009C5E77"/>
    <w:rsid w:val="009C7A7E"/>
    <w:rsid w:val="009D02E8"/>
    <w:rsid w:val="009D0356"/>
    <w:rsid w:val="009D0E91"/>
    <w:rsid w:val="009D51D0"/>
    <w:rsid w:val="009D70A4"/>
    <w:rsid w:val="009E08D1"/>
    <w:rsid w:val="009E1B95"/>
    <w:rsid w:val="009E2A21"/>
    <w:rsid w:val="009E496F"/>
    <w:rsid w:val="009E4B0D"/>
    <w:rsid w:val="009E6528"/>
    <w:rsid w:val="009E7F92"/>
    <w:rsid w:val="009F02A3"/>
    <w:rsid w:val="009F2F27"/>
    <w:rsid w:val="009F34AA"/>
    <w:rsid w:val="009F426D"/>
    <w:rsid w:val="009F6BCB"/>
    <w:rsid w:val="009F7B78"/>
    <w:rsid w:val="00A0057A"/>
    <w:rsid w:val="00A0776B"/>
    <w:rsid w:val="00A11421"/>
    <w:rsid w:val="00A157B1"/>
    <w:rsid w:val="00A22229"/>
    <w:rsid w:val="00A303B7"/>
    <w:rsid w:val="00A330BB"/>
    <w:rsid w:val="00A37578"/>
    <w:rsid w:val="00A44882"/>
    <w:rsid w:val="00A534CF"/>
    <w:rsid w:val="00A54715"/>
    <w:rsid w:val="00A57E1E"/>
    <w:rsid w:val="00A6061C"/>
    <w:rsid w:val="00A62D44"/>
    <w:rsid w:val="00A67263"/>
    <w:rsid w:val="00A7161C"/>
    <w:rsid w:val="00A778E1"/>
    <w:rsid w:val="00A77AA3"/>
    <w:rsid w:val="00A854EB"/>
    <w:rsid w:val="00A86AC9"/>
    <w:rsid w:val="00A872E5"/>
    <w:rsid w:val="00A91406"/>
    <w:rsid w:val="00A9612A"/>
    <w:rsid w:val="00A96E65"/>
    <w:rsid w:val="00A97C72"/>
    <w:rsid w:val="00AA42F0"/>
    <w:rsid w:val="00AA63D4"/>
    <w:rsid w:val="00AA6801"/>
    <w:rsid w:val="00AB06E8"/>
    <w:rsid w:val="00AB11E1"/>
    <w:rsid w:val="00AB1CD3"/>
    <w:rsid w:val="00AB352F"/>
    <w:rsid w:val="00AB47FD"/>
    <w:rsid w:val="00AC274B"/>
    <w:rsid w:val="00AC4764"/>
    <w:rsid w:val="00AC5860"/>
    <w:rsid w:val="00AC6D36"/>
    <w:rsid w:val="00AD0BBF"/>
    <w:rsid w:val="00AD0CBA"/>
    <w:rsid w:val="00AD26E2"/>
    <w:rsid w:val="00AD784C"/>
    <w:rsid w:val="00AE126A"/>
    <w:rsid w:val="00AE3005"/>
    <w:rsid w:val="00AE3BD5"/>
    <w:rsid w:val="00AE59A0"/>
    <w:rsid w:val="00AF0C57"/>
    <w:rsid w:val="00AF26F3"/>
    <w:rsid w:val="00AF2934"/>
    <w:rsid w:val="00AF5F04"/>
    <w:rsid w:val="00B00672"/>
    <w:rsid w:val="00B01B4D"/>
    <w:rsid w:val="00B06571"/>
    <w:rsid w:val="00B068BA"/>
    <w:rsid w:val="00B13851"/>
    <w:rsid w:val="00B13B1C"/>
    <w:rsid w:val="00B22291"/>
    <w:rsid w:val="00B23F9A"/>
    <w:rsid w:val="00B2417B"/>
    <w:rsid w:val="00B248E9"/>
    <w:rsid w:val="00B24E6F"/>
    <w:rsid w:val="00B26CB5"/>
    <w:rsid w:val="00B2752E"/>
    <w:rsid w:val="00B307CC"/>
    <w:rsid w:val="00B326B7"/>
    <w:rsid w:val="00B3388D"/>
    <w:rsid w:val="00B42EFF"/>
    <w:rsid w:val="00B431E8"/>
    <w:rsid w:val="00B4393B"/>
    <w:rsid w:val="00B44A92"/>
    <w:rsid w:val="00B45141"/>
    <w:rsid w:val="00B475B2"/>
    <w:rsid w:val="00B52189"/>
    <w:rsid w:val="00B5273A"/>
    <w:rsid w:val="00B57329"/>
    <w:rsid w:val="00B60E61"/>
    <w:rsid w:val="00B62B50"/>
    <w:rsid w:val="00B635B7"/>
    <w:rsid w:val="00B63AE8"/>
    <w:rsid w:val="00B65950"/>
    <w:rsid w:val="00B66D83"/>
    <w:rsid w:val="00B672C0"/>
    <w:rsid w:val="00B745EF"/>
    <w:rsid w:val="00B75646"/>
    <w:rsid w:val="00B834D3"/>
    <w:rsid w:val="00B90729"/>
    <w:rsid w:val="00B907DA"/>
    <w:rsid w:val="00B9264B"/>
    <w:rsid w:val="00B950BC"/>
    <w:rsid w:val="00B9714C"/>
    <w:rsid w:val="00B97EDE"/>
    <w:rsid w:val="00BA29AD"/>
    <w:rsid w:val="00BA3F8D"/>
    <w:rsid w:val="00BA4C01"/>
    <w:rsid w:val="00BA76D2"/>
    <w:rsid w:val="00BB2BA7"/>
    <w:rsid w:val="00BB4FCD"/>
    <w:rsid w:val="00BB7A10"/>
    <w:rsid w:val="00BC7468"/>
    <w:rsid w:val="00BC7D4F"/>
    <w:rsid w:val="00BC7ED7"/>
    <w:rsid w:val="00BD2850"/>
    <w:rsid w:val="00BD5E09"/>
    <w:rsid w:val="00BE28D2"/>
    <w:rsid w:val="00BE4A64"/>
    <w:rsid w:val="00BF1FB6"/>
    <w:rsid w:val="00BF557D"/>
    <w:rsid w:val="00BF5847"/>
    <w:rsid w:val="00BF5BBE"/>
    <w:rsid w:val="00BF7F58"/>
    <w:rsid w:val="00C01381"/>
    <w:rsid w:val="00C01AB1"/>
    <w:rsid w:val="00C079B8"/>
    <w:rsid w:val="00C10037"/>
    <w:rsid w:val="00C12085"/>
    <w:rsid w:val="00C123EA"/>
    <w:rsid w:val="00C12A49"/>
    <w:rsid w:val="00C133EE"/>
    <w:rsid w:val="00C149D0"/>
    <w:rsid w:val="00C17B0A"/>
    <w:rsid w:val="00C21A63"/>
    <w:rsid w:val="00C22008"/>
    <w:rsid w:val="00C26588"/>
    <w:rsid w:val="00C27DE9"/>
    <w:rsid w:val="00C30B6D"/>
    <w:rsid w:val="00C33388"/>
    <w:rsid w:val="00C349CB"/>
    <w:rsid w:val="00C35484"/>
    <w:rsid w:val="00C4173A"/>
    <w:rsid w:val="00C42080"/>
    <w:rsid w:val="00C4418E"/>
    <w:rsid w:val="00C52462"/>
    <w:rsid w:val="00C602FF"/>
    <w:rsid w:val="00C61174"/>
    <w:rsid w:val="00C6148F"/>
    <w:rsid w:val="00C621B1"/>
    <w:rsid w:val="00C62F7A"/>
    <w:rsid w:val="00C63B9C"/>
    <w:rsid w:val="00C6682F"/>
    <w:rsid w:val="00C67B5A"/>
    <w:rsid w:val="00C7275E"/>
    <w:rsid w:val="00C74C5D"/>
    <w:rsid w:val="00C863C4"/>
    <w:rsid w:val="00C920EA"/>
    <w:rsid w:val="00C93C3E"/>
    <w:rsid w:val="00CA12E3"/>
    <w:rsid w:val="00CA466E"/>
    <w:rsid w:val="00CA6611"/>
    <w:rsid w:val="00CA6AE6"/>
    <w:rsid w:val="00CA782F"/>
    <w:rsid w:val="00CB2D01"/>
    <w:rsid w:val="00CB3285"/>
    <w:rsid w:val="00CC0C72"/>
    <w:rsid w:val="00CC2BFD"/>
    <w:rsid w:val="00CD3476"/>
    <w:rsid w:val="00CD64DF"/>
    <w:rsid w:val="00CE035E"/>
    <w:rsid w:val="00CE0B6C"/>
    <w:rsid w:val="00CE21AB"/>
    <w:rsid w:val="00CE3F91"/>
    <w:rsid w:val="00CE4E2F"/>
    <w:rsid w:val="00CF229B"/>
    <w:rsid w:val="00CF2F50"/>
    <w:rsid w:val="00CF51BA"/>
    <w:rsid w:val="00CF6198"/>
    <w:rsid w:val="00CF7278"/>
    <w:rsid w:val="00CF73F3"/>
    <w:rsid w:val="00D01F02"/>
    <w:rsid w:val="00D02919"/>
    <w:rsid w:val="00D04C61"/>
    <w:rsid w:val="00D04F07"/>
    <w:rsid w:val="00D05B8D"/>
    <w:rsid w:val="00D065A2"/>
    <w:rsid w:val="00D07F00"/>
    <w:rsid w:val="00D17B72"/>
    <w:rsid w:val="00D22CBE"/>
    <w:rsid w:val="00D26AD2"/>
    <w:rsid w:val="00D30010"/>
    <w:rsid w:val="00D3185C"/>
    <w:rsid w:val="00D3318E"/>
    <w:rsid w:val="00D33554"/>
    <w:rsid w:val="00D33E72"/>
    <w:rsid w:val="00D35BD6"/>
    <w:rsid w:val="00D361B5"/>
    <w:rsid w:val="00D411A2"/>
    <w:rsid w:val="00D459FD"/>
    <w:rsid w:val="00D4606D"/>
    <w:rsid w:val="00D50B9C"/>
    <w:rsid w:val="00D52D73"/>
    <w:rsid w:val="00D52E58"/>
    <w:rsid w:val="00D52E5B"/>
    <w:rsid w:val="00D53A0B"/>
    <w:rsid w:val="00D56B20"/>
    <w:rsid w:val="00D63385"/>
    <w:rsid w:val="00D714CC"/>
    <w:rsid w:val="00D73E7D"/>
    <w:rsid w:val="00D75EA7"/>
    <w:rsid w:val="00D81F21"/>
    <w:rsid w:val="00D83EA0"/>
    <w:rsid w:val="00D87170"/>
    <w:rsid w:val="00D95470"/>
    <w:rsid w:val="00DA2619"/>
    <w:rsid w:val="00DA4239"/>
    <w:rsid w:val="00DA634E"/>
    <w:rsid w:val="00DA7F2A"/>
    <w:rsid w:val="00DB0B61"/>
    <w:rsid w:val="00DB1474"/>
    <w:rsid w:val="00DB3148"/>
    <w:rsid w:val="00DB52FB"/>
    <w:rsid w:val="00DB563B"/>
    <w:rsid w:val="00DC0093"/>
    <w:rsid w:val="00DC090B"/>
    <w:rsid w:val="00DC1679"/>
    <w:rsid w:val="00DC2CF1"/>
    <w:rsid w:val="00DC3C49"/>
    <w:rsid w:val="00DC4DDE"/>
    <w:rsid w:val="00DC4FCF"/>
    <w:rsid w:val="00DC50E0"/>
    <w:rsid w:val="00DC6386"/>
    <w:rsid w:val="00DD1130"/>
    <w:rsid w:val="00DD1951"/>
    <w:rsid w:val="00DD59DE"/>
    <w:rsid w:val="00DD6628"/>
    <w:rsid w:val="00DD6945"/>
    <w:rsid w:val="00DD69E3"/>
    <w:rsid w:val="00DE3250"/>
    <w:rsid w:val="00DE6028"/>
    <w:rsid w:val="00DE78A3"/>
    <w:rsid w:val="00DE7B11"/>
    <w:rsid w:val="00DF1A71"/>
    <w:rsid w:val="00DF2A34"/>
    <w:rsid w:val="00DF3B02"/>
    <w:rsid w:val="00DF68C7"/>
    <w:rsid w:val="00DF731A"/>
    <w:rsid w:val="00E1007B"/>
    <w:rsid w:val="00E11332"/>
    <w:rsid w:val="00E11352"/>
    <w:rsid w:val="00E170DC"/>
    <w:rsid w:val="00E177F8"/>
    <w:rsid w:val="00E202B6"/>
    <w:rsid w:val="00E20CAE"/>
    <w:rsid w:val="00E26818"/>
    <w:rsid w:val="00E27FFC"/>
    <w:rsid w:val="00E301E0"/>
    <w:rsid w:val="00E30B15"/>
    <w:rsid w:val="00E31BC9"/>
    <w:rsid w:val="00E320A1"/>
    <w:rsid w:val="00E372A2"/>
    <w:rsid w:val="00E40181"/>
    <w:rsid w:val="00E44BFD"/>
    <w:rsid w:val="00E467E5"/>
    <w:rsid w:val="00E50929"/>
    <w:rsid w:val="00E52772"/>
    <w:rsid w:val="00E56A01"/>
    <w:rsid w:val="00E60D6C"/>
    <w:rsid w:val="00E6192F"/>
    <w:rsid w:val="00E629A1"/>
    <w:rsid w:val="00E62E72"/>
    <w:rsid w:val="00E670DE"/>
    <w:rsid w:val="00E674DF"/>
    <w:rsid w:val="00E6794C"/>
    <w:rsid w:val="00E71591"/>
    <w:rsid w:val="00E80DE3"/>
    <w:rsid w:val="00E82C55"/>
    <w:rsid w:val="00E8368E"/>
    <w:rsid w:val="00E86A3F"/>
    <w:rsid w:val="00E9221C"/>
    <w:rsid w:val="00E92AC3"/>
    <w:rsid w:val="00E9789F"/>
    <w:rsid w:val="00EA08D8"/>
    <w:rsid w:val="00EA181E"/>
    <w:rsid w:val="00EA3C2C"/>
    <w:rsid w:val="00EA5C95"/>
    <w:rsid w:val="00EB00E0"/>
    <w:rsid w:val="00EB6D15"/>
    <w:rsid w:val="00EC059F"/>
    <w:rsid w:val="00EC1045"/>
    <w:rsid w:val="00EC1F24"/>
    <w:rsid w:val="00EC22F6"/>
    <w:rsid w:val="00ED4926"/>
    <w:rsid w:val="00ED5B9B"/>
    <w:rsid w:val="00ED5D58"/>
    <w:rsid w:val="00ED6919"/>
    <w:rsid w:val="00ED6BAD"/>
    <w:rsid w:val="00ED7447"/>
    <w:rsid w:val="00EE0131"/>
    <w:rsid w:val="00EE1488"/>
    <w:rsid w:val="00EE2250"/>
    <w:rsid w:val="00EE2F0B"/>
    <w:rsid w:val="00EE3E24"/>
    <w:rsid w:val="00EE4D5D"/>
    <w:rsid w:val="00EE5131"/>
    <w:rsid w:val="00EE54B1"/>
    <w:rsid w:val="00EF109B"/>
    <w:rsid w:val="00EF36AF"/>
    <w:rsid w:val="00EF6FE3"/>
    <w:rsid w:val="00F00F9C"/>
    <w:rsid w:val="00F01E5F"/>
    <w:rsid w:val="00F023CF"/>
    <w:rsid w:val="00F02ABA"/>
    <w:rsid w:val="00F0437A"/>
    <w:rsid w:val="00F1024D"/>
    <w:rsid w:val="00F11037"/>
    <w:rsid w:val="00F15F4C"/>
    <w:rsid w:val="00F16F1B"/>
    <w:rsid w:val="00F20E83"/>
    <w:rsid w:val="00F250A9"/>
    <w:rsid w:val="00F28BFC"/>
    <w:rsid w:val="00F30FF4"/>
    <w:rsid w:val="00F3122E"/>
    <w:rsid w:val="00F331AD"/>
    <w:rsid w:val="00F35287"/>
    <w:rsid w:val="00F36697"/>
    <w:rsid w:val="00F42174"/>
    <w:rsid w:val="00F43A37"/>
    <w:rsid w:val="00F4480C"/>
    <w:rsid w:val="00F4641B"/>
    <w:rsid w:val="00F46EB8"/>
    <w:rsid w:val="00F50CD1"/>
    <w:rsid w:val="00F511E4"/>
    <w:rsid w:val="00F52D09"/>
    <w:rsid w:val="00F52E08"/>
    <w:rsid w:val="00F55B21"/>
    <w:rsid w:val="00F56921"/>
    <w:rsid w:val="00F56EF6"/>
    <w:rsid w:val="00F61A9F"/>
    <w:rsid w:val="00F64696"/>
    <w:rsid w:val="00F65AA9"/>
    <w:rsid w:val="00F6768F"/>
    <w:rsid w:val="00F72C2C"/>
    <w:rsid w:val="00F76CAB"/>
    <w:rsid w:val="00F772C6"/>
    <w:rsid w:val="00F77EA7"/>
    <w:rsid w:val="00F815B5"/>
    <w:rsid w:val="00F82CE1"/>
    <w:rsid w:val="00F85195"/>
    <w:rsid w:val="00F9109A"/>
    <w:rsid w:val="00F938BA"/>
    <w:rsid w:val="00FA27FA"/>
    <w:rsid w:val="00FA2C46"/>
    <w:rsid w:val="00FA3525"/>
    <w:rsid w:val="00FA5A53"/>
    <w:rsid w:val="00FB4769"/>
    <w:rsid w:val="00FB4CDA"/>
    <w:rsid w:val="00FB7439"/>
    <w:rsid w:val="00FC0F81"/>
    <w:rsid w:val="00FC395C"/>
    <w:rsid w:val="00FC4CD9"/>
    <w:rsid w:val="00FD2A74"/>
    <w:rsid w:val="00FD3766"/>
    <w:rsid w:val="00FD47C4"/>
    <w:rsid w:val="00FD77BD"/>
    <w:rsid w:val="00FE2DCF"/>
    <w:rsid w:val="00FE3F2E"/>
    <w:rsid w:val="00FE3FA7"/>
    <w:rsid w:val="00FE5926"/>
    <w:rsid w:val="00FE7000"/>
    <w:rsid w:val="00FF24A5"/>
    <w:rsid w:val="00FF2A4E"/>
    <w:rsid w:val="00FF2FCE"/>
    <w:rsid w:val="00FF491D"/>
    <w:rsid w:val="00FF4F7D"/>
    <w:rsid w:val="00FF6D9D"/>
    <w:rsid w:val="010FB9E4"/>
    <w:rsid w:val="016810D1"/>
    <w:rsid w:val="019FF76D"/>
    <w:rsid w:val="01A1E28B"/>
    <w:rsid w:val="01E7790D"/>
    <w:rsid w:val="033F549E"/>
    <w:rsid w:val="0407482A"/>
    <w:rsid w:val="045BFB63"/>
    <w:rsid w:val="04C8E40B"/>
    <w:rsid w:val="04DB24FF"/>
    <w:rsid w:val="05705E9B"/>
    <w:rsid w:val="06654D6F"/>
    <w:rsid w:val="0713DE77"/>
    <w:rsid w:val="0728B960"/>
    <w:rsid w:val="0770CBBF"/>
    <w:rsid w:val="08A34568"/>
    <w:rsid w:val="08FFECE3"/>
    <w:rsid w:val="098DDA95"/>
    <w:rsid w:val="09E69D14"/>
    <w:rsid w:val="0A0670AF"/>
    <w:rsid w:val="0A31F8D5"/>
    <w:rsid w:val="0AF2327E"/>
    <w:rsid w:val="0B2248EB"/>
    <w:rsid w:val="0B74321C"/>
    <w:rsid w:val="0BA24110"/>
    <w:rsid w:val="0BCF33FA"/>
    <w:rsid w:val="0C3F485A"/>
    <w:rsid w:val="0DDC4572"/>
    <w:rsid w:val="0E2E793F"/>
    <w:rsid w:val="0EA35996"/>
    <w:rsid w:val="0EF0A1B7"/>
    <w:rsid w:val="10199AAB"/>
    <w:rsid w:val="116077E3"/>
    <w:rsid w:val="12813343"/>
    <w:rsid w:val="12CFC597"/>
    <w:rsid w:val="12DF6021"/>
    <w:rsid w:val="1304CC4A"/>
    <w:rsid w:val="1356A65D"/>
    <w:rsid w:val="137FF14C"/>
    <w:rsid w:val="13E4363B"/>
    <w:rsid w:val="14BA08C8"/>
    <w:rsid w:val="1530E8C7"/>
    <w:rsid w:val="1536627D"/>
    <w:rsid w:val="16631A9D"/>
    <w:rsid w:val="168330DE"/>
    <w:rsid w:val="177005ED"/>
    <w:rsid w:val="1781C365"/>
    <w:rsid w:val="1831137F"/>
    <w:rsid w:val="1858E484"/>
    <w:rsid w:val="18FB9FA6"/>
    <w:rsid w:val="1A2560E6"/>
    <w:rsid w:val="1A834FF5"/>
    <w:rsid w:val="1B2814AF"/>
    <w:rsid w:val="1D6FA944"/>
    <w:rsid w:val="1D9E35F6"/>
    <w:rsid w:val="2079EDB6"/>
    <w:rsid w:val="20B79C29"/>
    <w:rsid w:val="2167776B"/>
    <w:rsid w:val="21AD16D7"/>
    <w:rsid w:val="23498CC0"/>
    <w:rsid w:val="23867DA0"/>
    <w:rsid w:val="23D94D3C"/>
    <w:rsid w:val="23DB80A1"/>
    <w:rsid w:val="23F9803B"/>
    <w:rsid w:val="256611E3"/>
    <w:rsid w:val="257767CB"/>
    <w:rsid w:val="25B9CE11"/>
    <w:rsid w:val="261019CA"/>
    <w:rsid w:val="2650A19B"/>
    <w:rsid w:val="2667674A"/>
    <w:rsid w:val="26C77358"/>
    <w:rsid w:val="2905B6BA"/>
    <w:rsid w:val="2912B914"/>
    <w:rsid w:val="2917A398"/>
    <w:rsid w:val="293AFA3C"/>
    <w:rsid w:val="2A3F097B"/>
    <w:rsid w:val="2ADD2109"/>
    <w:rsid w:val="2AE8CC3A"/>
    <w:rsid w:val="2B374863"/>
    <w:rsid w:val="2BB89A8F"/>
    <w:rsid w:val="2D212B2E"/>
    <w:rsid w:val="2D5BA5D1"/>
    <w:rsid w:val="2D5DB740"/>
    <w:rsid w:val="2D8B6355"/>
    <w:rsid w:val="2DC38E3A"/>
    <w:rsid w:val="2DE11563"/>
    <w:rsid w:val="2E7BD6E1"/>
    <w:rsid w:val="2E8C3DD2"/>
    <w:rsid w:val="2F95DD3E"/>
    <w:rsid w:val="301A974A"/>
    <w:rsid w:val="309A347A"/>
    <w:rsid w:val="31AE021B"/>
    <w:rsid w:val="32447E4A"/>
    <w:rsid w:val="3262A847"/>
    <w:rsid w:val="3345306A"/>
    <w:rsid w:val="346C57EA"/>
    <w:rsid w:val="34FF4894"/>
    <w:rsid w:val="35CB939E"/>
    <w:rsid w:val="35CC0A2C"/>
    <w:rsid w:val="35F6730A"/>
    <w:rsid w:val="361ED1A9"/>
    <w:rsid w:val="364404ED"/>
    <w:rsid w:val="367CF27B"/>
    <w:rsid w:val="36DD2521"/>
    <w:rsid w:val="373F2BE9"/>
    <w:rsid w:val="38190DD3"/>
    <w:rsid w:val="38926664"/>
    <w:rsid w:val="38F6D25A"/>
    <w:rsid w:val="390A1375"/>
    <w:rsid w:val="392F46D0"/>
    <w:rsid w:val="39BFDF05"/>
    <w:rsid w:val="3B64FFF5"/>
    <w:rsid w:val="3B6FD97C"/>
    <w:rsid w:val="3BA764C8"/>
    <w:rsid w:val="3C481DF7"/>
    <w:rsid w:val="3DFD466B"/>
    <w:rsid w:val="3E15EC18"/>
    <w:rsid w:val="3E2B845A"/>
    <w:rsid w:val="3E626470"/>
    <w:rsid w:val="3E8D027D"/>
    <w:rsid w:val="3F1370B3"/>
    <w:rsid w:val="3FAF52CD"/>
    <w:rsid w:val="3FFF27FE"/>
    <w:rsid w:val="40145BA9"/>
    <w:rsid w:val="40902FB4"/>
    <w:rsid w:val="409FC697"/>
    <w:rsid w:val="4118CC93"/>
    <w:rsid w:val="42F8CB90"/>
    <w:rsid w:val="434BFC6B"/>
    <w:rsid w:val="4367BF16"/>
    <w:rsid w:val="43982BC7"/>
    <w:rsid w:val="4400F6A2"/>
    <w:rsid w:val="447BB9F7"/>
    <w:rsid w:val="44A3C7FE"/>
    <w:rsid w:val="44B4C7DF"/>
    <w:rsid w:val="44E7CCCC"/>
    <w:rsid w:val="4556677E"/>
    <w:rsid w:val="45643F13"/>
    <w:rsid w:val="45F98F24"/>
    <w:rsid w:val="46D3FC03"/>
    <w:rsid w:val="47504C3B"/>
    <w:rsid w:val="47FECFF5"/>
    <w:rsid w:val="48AC9E39"/>
    <w:rsid w:val="49AE6C84"/>
    <w:rsid w:val="4A0C23B0"/>
    <w:rsid w:val="4B03E38F"/>
    <w:rsid w:val="4B3E8EC6"/>
    <w:rsid w:val="4C11CEA0"/>
    <w:rsid w:val="4C8E091E"/>
    <w:rsid w:val="4CAFEA98"/>
    <w:rsid w:val="4D3932E3"/>
    <w:rsid w:val="4E552363"/>
    <w:rsid w:val="4EF11E6E"/>
    <w:rsid w:val="4F2DC3A4"/>
    <w:rsid w:val="4FDE0716"/>
    <w:rsid w:val="5047D5CA"/>
    <w:rsid w:val="50B3CF07"/>
    <w:rsid w:val="51277F3E"/>
    <w:rsid w:val="513C3735"/>
    <w:rsid w:val="5145CE51"/>
    <w:rsid w:val="52215D22"/>
    <w:rsid w:val="5261E95A"/>
    <w:rsid w:val="52E72885"/>
    <w:rsid w:val="53F01823"/>
    <w:rsid w:val="5427346E"/>
    <w:rsid w:val="565CA61A"/>
    <w:rsid w:val="56B625B2"/>
    <w:rsid w:val="57CB7F74"/>
    <w:rsid w:val="57E19301"/>
    <w:rsid w:val="583BC30E"/>
    <w:rsid w:val="587BF3A5"/>
    <w:rsid w:val="58BCB50B"/>
    <w:rsid w:val="593586E5"/>
    <w:rsid w:val="595631A4"/>
    <w:rsid w:val="5996A09F"/>
    <w:rsid w:val="5A1E8278"/>
    <w:rsid w:val="5D6B580A"/>
    <w:rsid w:val="5D7E661B"/>
    <w:rsid w:val="5E1B6BFD"/>
    <w:rsid w:val="5E514585"/>
    <w:rsid w:val="5EB056CF"/>
    <w:rsid w:val="5EE80DFB"/>
    <w:rsid w:val="5F371E19"/>
    <w:rsid w:val="5F5B9DB7"/>
    <w:rsid w:val="5FD8163B"/>
    <w:rsid w:val="6049C990"/>
    <w:rsid w:val="60E5BD64"/>
    <w:rsid w:val="619D1ED5"/>
    <w:rsid w:val="61C97CF7"/>
    <w:rsid w:val="6200DF02"/>
    <w:rsid w:val="62526B33"/>
    <w:rsid w:val="627E326D"/>
    <w:rsid w:val="62961889"/>
    <w:rsid w:val="62DF324B"/>
    <w:rsid w:val="64241C81"/>
    <w:rsid w:val="643CFAA5"/>
    <w:rsid w:val="6511729C"/>
    <w:rsid w:val="6562C557"/>
    <w:rsid w:val="65B7C007"/>
    <w:rsid w:val="66C70CC8"/>
    <w:rsid w:val="66E26AFE"/>
    <w:rsid w:val="6722C4D8"/>
    <w:rsid w:val="6759628B"/>
    <w:rsid w:val="6767B7ED"/>
    <w:rsid w:val="6767BE25"/>
    <w:rsid w:val="6844AB98"/>
    <w:rsid w:val="694A544F"/>
    <w:rsid w:val="69C80ECA"/>
    <w:rsid w:val="6C0C4420"/>
    <w:rsid w:val="6C378D48"/>
    <w:rsid w:val="6CA6BE23"/>
    <w:rsid w:val="6CFE4591"/>
    <w:rsid w:val="6FB38442"/>
    <w:rsid w:val="6FD8CC5B"/>
    <w:rsid w:val="6FE9AE1E"/>
    <w:rsid w:val="7192E61A"/>
    <w:rsid w:val="730FA147"/>
    <w:rsid w:val="73113D1B"/>
    <w:rsid w:val="73214EE0"/>
    <w:rsid w:val="73C32A98"/>
    <w:rsid w:val="742399B1"/>
    <w:rsid w:val="742E4C6C"/>
    <w:rsid w:val="749AF80F"/>
    <w:rsid w:val="74AAE750"/>
    <w:rsid w:val="74EF4ED7"/>
    <w:rsid w:val="755C3872"/>
    <w:rsid w:val="75D97DDB"/>
    <w:rsid w:val="761056B3"/>
    <w:rsid w:val="76D435FD"/>
    <w:rsid w:val="76DF90A0"/>
    <w:rsid w:val="77113130"/>
    <w:rsid w:val="7885B830"/>
    <w:rsid w:val="7893D934"/>
    <w:rsid w:val="79037F4B"/>
    <w:rsid w:val="796D0F48"/>
    <w:rsid w:val="79AB39AA"/>
    <w:rsid w:val="7A26F5A5"/>
    <w:rsid w:val="7AF92A48"/>
    <w:rsid w:val="7B9840C0"/>
    <w:rsid w:val="7C624EE1"/>
    <w:rsid w:val="7C859642"/>
    <w:rsid w:val="7CD0698B"/>
    <w:rsid w:val="7CD36DB2"/>
    <w:rsid w:val="7CE483A9"/>
    <w:rsid w:val="7D455247"/>
    <w:rsid w:val="7DA1565D"/>
    <w:rsid w:val="7E1A6C79"/>
    <w:rsid w:val="7E54D55C"/>
    <w:rsid w:val="7E5E870B"/>
    <w:rsid w:val="7E7B730C"/>
    <w:rsid w:val="7EB1926D"/>
    <w:rsid w:val="7EDC1C1B"/>
    <w:rsid w:val="7F41294B"/>
    <w:rsid w:val="7F703C1E"/>
    <w:rsid w:val="7FC5B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1ABD0D7"/>
  <w15:docId w15:val="{D71F29E5-3AF6-47E3-9E53-8DDDD07A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460FC1"/>
    <w:rPr>
      <w:rFonts w:ascii="Cambria" w:hAnsi="Cambria"/>
      <w:lang w:eastAsia="en-US"/>
    </w:rPr>
  </w:style>
  <w:style w:type="paragraph" w:styleId="Heading1">
    <w:name w:val="heading 1"/>
    <w:next w:val="VDWCbody"/>
    <w:link w:val="Heading1Char"/>
    <w:uiPriority w:val="1"/>
    <w:qFormat/>
    <w:rsid w:val="00E60D6C"/>
    <w:pPr>
      <w:keepNext/>
      <w:keepLines/>
      <w:spacing w:before="320" w:after="200" w:line="440" w:lineRule="atLeast"/>
      <w:outlineLvl w:val="0"/>
    </w:pPr>
    <w:rPr>
      <w:rFonts w:ascii="Arial" w:eastAsia="MS Gothic" w:hAnsi="Arial" w:cs="Arial"/>
      <w:bCs/>
      <w:color w:val="1D1937"/>
      <w:kern w:val="32"/>
      <w:sz w:val="36"/>
      <w:szCs w:val="40"/>
      <w:lang w:eastAsia="en-US"/>
    </w:rPr>
  </w:style>
  <w:style w:type="paragraph" w:styleId="Heading2">
    <w:name w:val="heading 2"/>
    <w:next w:val="VDWCbody"/>
    <w:link w:val="Heading2Char"/>
    <w:uiPriority w:val="1"/>
    <w:qFormat/>
    <w:rsid w:val="00E60D6C"/>
    <w:pPr>
      <w:keepNext/>
      <w:keepLines/>
      <w:spacing w:before="240" w:after="90" w:line="320" w:lineRule="atLeast"/>
      <w:outlineLvl w:val="1"/>
    </w:pPr>
    <w:rPr>
      <w:rFonts w:ascii="Arial" w:hAnsi="Arial"/>
      <w:b/>
      <w:color w:val="1D1937"/>
      <w:sz w:val="28"/>
      <w:szCs w:val="28"/>
      <w:lang w:eastAsia="en-US"/>
    </w:rPr>
  </w:style>
  <w:style w:type="paragraph" w:styleId="Heading3">
    <w:name w:val="heading 3"/>
    <w:next w:val="VDWC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VDWC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WCbody">
    <w:name w:val="VDWC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E60D6C"/>
    <w:rPr>
      <w:rFonts w:ascii="Arial" w:eastAsia="MS Gothic" w:hAnsi="Arial" w:cs="Arial"/>
      <w:bCs/>
      <w:color w:val="1D1937"/>
      <w:kern w:val="32"/>
      <w:sz w:val="36"/>
      <w:szCs w:val="40"/>
      <w:lang w:eastAsia="en-US"/>
    </w:rPr>
  </w:style>
  <w:style w:type="character" w:customStyle="1" w:styleId="Heading2Char">
    <w:name w:val="Heading 2 Char"/>
    <w:link w:val="Heading2"/>
    <w:uiPriority w:val="1"/>
    <w:rsid w:val="00E60D6C"/>
    <w:rPr>
      <w:rFonts w:ascii="Arial" w:hAnsi="Arial"/>
      <w:b/>
      <w:color w:val="1D1937"/>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VDWCheader"/>
    <w:uiPriority w:val="10"/>
    <w:rsid w:val="00262802"/>
  </w:style>
  <w:style w:type="paragraph" w:styleId="Footer">
    <w:name w:val="footer"/>
    <w:basedOn w:val="VDWCfooter"/>
    <w:link w:val="FooterChar"/>
    <w:uiPriority w:val="99"/>
    <w:rsid w:val="00C27DE9"/>
  </w:style>
  <w:style w:type="character" w:styleId="FollowedHyperlink">
    <w:name w:val="FollowedHyperlink"/>
    <w:uiPriority w:val="99"/>
    <w:rsid w:val="007A11E8"/>
    <w:rPr>
      <w:color w:val="87189D"/>
      <w:u w:val="dotted"/>
    </w:rPr>
  </w:style>
  <w:style w:type="paragraph" w:customStyle="1" w:styleId="VDWCtabletext6pt">
    <w:name w:val="VDWC table text + 6pt"/>
    <w:basedOn w:val="VDWC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WCbodynospace">
    <w:name w:val="VDWC body no space"/>
    <w:basedOn w:val="VDWCbody"/>
    <w:uiPriority w:val="1"/>
    <w:rsid w:val="00F772C6"/>
    <w:pPr>
      <w:spacing w:after="0"/>
    </w:pPr>
  </w:style>
  <w:style w:type="paragraph" w:customStyle="1" w:styleId="VDWCbullet1">
    <w:name w:val="VDWC bullet 1"/>
    <w:basedOn w:val="VDWCbody"/>
    <w:qFormat/>
    <w:rsid w:val="00506F3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b/>
      <w:noProof/>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VDWCTOCheadingfactsheet">
    <w:name w:val="VDWC TOC heading fact sheet"/>
    <w:basedOn w:val="Heading2"/>
    <w:next w:val="VDWCbody"/>
    <w:link w:val="VDWCTOCheadingfactsheetChar"/>
    <w:uiPriority w:val="4"/>
    <w:rsid w:val="00E60D6C"/>
    <w:pPr>
      <w:spacing w:before="0" w:after="200"/>
      <w:outlineLvl w:val="9"/>
    </w:pPr>
  </w:style>
  <w:style w:type="character" w:customStyle="1" w:styleId="VDWCTOCheadingfactsheetChar">
    <w:name w:val="VDWC TOC heading fact sheet Char"/>
    <w:link w:val="VDWCTOCheadingfactsheet"/>
    <w:uiPriority w:val="4"/>
    <w:rsid w:val="00E60D6C"/>
    <w:rPr>
      <w:rFonts w:ascii="Arial" w:hAnsi="Arial"/>
      <w:b/>
      <w:color w:val="1D1937"/>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DWCtabletext">
    <w:name w:val="VDWC table text"/>
    <w:uiPriority w:val="3"/>
    <w:qFormat/>
    <w:rsid w:val="00DA2619"/>
    <w:pPr>
      <w:spacing w:before="80" w:after="60"/>
    </w:pPr>
    <w:rPr>
      <w:rFonts w:ascii="Arial" w:hAnsi="Arial"/>
      <w:lang w:eastAsia="en-US"/>
    </w:rPr>
  </w:style>
  <w:style w:type="paragraph" w:customStyle="1" w:styleId="VDWCtablecaption">
    <w:name w:val="VDWC table caption"/>
    <w:next w:val="VDWCbody"/>
    <w:uiPriority w:val="3"/>
    <w:qFormat/>
    <w:rsid w:val="00233724"/>
    <w:pPr>
      <w:keepNext/>
      <w:keepLines/>
      <w:spacing w:before="240" w:after="120" w:line="240" w:lineRule="atLeast"/>
    </w:pPr>
    <w:rPr>
      <w:rFonts w:ascii="Arial" w:hAnsi="Arial"/>
      <w:b/>
      <w:lang w:eastAsia="en-US"/>
    </w:rPr>
  </w:style>
  <w:style w:type="paragraph" w:customStyle="1" w:styleId="VDWCmainheading">
    <w:name w:val="VDWC main heading"/>
    <w:uiPriority w:val="8"/>
    <w:rsid w:val="00E60D6C"/>
    <w:pPr>
      <w:jc w:val="right"/>
    </w:pPr>
    <w:rPr>
      <w:rFonts w:ascii="Arial" w:hAnsi="Arial"/>
      <w:color w:val="1D1937"/>
      <w:sz w:val="40"/>
      <w:szCs w:val="40"/>
      <w:lang w:eastAsia="en-US"/>
    </w:rPr>
  </w:style>
  <w:style w:type="character" w:styleId="FootnoteReference">
    <w:name w:val="footnote reference"/>
    <w:rsid w:val="00BC7ED7"/>
    <w:rPr>
      <w:vertAlign w:val="superscript"/>
    </w:rPr>
  </w:style>
  <w:style w:type="paragraph" w:customStyle="1" w:styleId="VDWCaccessibilitypara">
    <w:name w:val="VDWC accessibility para"/>
    <w:uiPriority w:val="8"/>
    <w:rsid w:val="00770F37"/>
    <w:pPr>
      <w:spacing w:after="200" w:line="300" w:lineRule="atLeast"/>
    </w:pPr>
    <w:rPr>
      <w:rFonts w:ascii="Arial" w:eastAsia="Times" w:hAnsi="Arial"/>
      <w:sz w:val="24"/>
      <w:szCs w:val="19"/>
      <w:lang w:eastAsia="en-US"/>
    </w:rPr>
  </w:style>
  <w:style w:type="paragraph" w:customStyle="1" w:styleId="VDWCfigurecaption">
    <w:name w:val="VDWC figure caption"/>
    <w:next w:val="VDWCbody"/>
    <w:rsid w:val="00770F37"/>
    <w:pPr>
      <w:keepNext/>
      <w:keepLines/>
      <w:spacing w:before="240" w:after="120"/>
    </w:pPr>
    <w:rPr>
      <w:rFonts w:ascii="Arial" w:hAnsi="Arial"/>
      <w:b/>
      <w:lang w:eastAsia="en-US"/>
    </w:rPr>
  </w:style>
  <w:style w:type="paragraph" w:customStyle="1" w:styleId="VDWCbullet2">
    <w:name w:val="VDWC bullet 2"/>
    <w:basedOn w:val="VDWCbody"/>
    <w:uiPriority w:val="2"/>
    <w:qFormat/>
    <w:rsid w:val="00506F34"/>
    <w:pPr>
      <w:numPr>
        <w:ilvl w:val="1"/>
        <w:numId w:val="3"/>
      </w:numPr>
      <w:spacing w:after="40"/>
    </w:pPr>
  </w:style>
  <w:style w:type="paragraph" w:customStyle="1" w:styleId="VDWCbodyafterbullets">
    <w:name w:val="VDWC body after bullets"/>
    <w:basedOn w:val="VDWCbody"/>
    <w:uiPriority w:val="11"/>
    <w:rsid w:val="00E11352"/>
    <w:pPr>
      <w:spacing w:before="120"/>
    </w:pPr>
  </w:style>
  <w:style w:type="paragraph" w:customStyle="1" w:styleId="VDWCtablebullet2">
    <w:name w:val="VDWC table bullet 2"/>
    <w:basedOn w:val="VDWCtabletext"/>
    <w:uiPriority w:val="11"/>
    <w:rsid w:val="00506F34"/>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DWCtablebullet1">
    <w:name w:val="VDWC table bullet 1"/>
    <w:basedOn w:val="VDWCtabletext"/>
    <w:uiPriority w:val="3"/>
    <w:qFormat/>
    <w:rsid w:val="00506F34"/>
    <w:pPr>
      <w:numPr>
        <w:numId w:val="4"/>
      </w:numPr>
    </w:pPr>
  </w:style>
  <w:style w:type="numbering" w:customStyle="1" w:styleId="ZZTablebullets">
    <w:name w:val="ZZ Table bullets"/>
    <w:basedOn w:val="NoList"/>
    <w:rsid w:val="00506F34"/>
    <w:pPr>
      <w:numPr>
        <w:numId w:val="4"/>
      </w:numPr>
    </w:pPr>
  </w:style>
  <w:style w:type="paragraph" w:customStyle="1" w:styleId="VDWCtablecolhead">
    <w:name w:val="VDWC table col head"/>
    <w:uiPriority w:val="3"/>
    <w:qFormat/>
    <w:rsid w:val="00E60D6C"/>
    <w:pPr>
      <w:spacing w:before="80" w:after="60"/>
    </w:pPr>
    <w:rPr>
      <w:rFonts w:ascii="Arial" w:hAnsi="Arial"/>
      <w:b/>
      <w:color w:val="1D1937"/>
      <w:lang w:eastAsia="en-US"/>
    </w:rPr>
  </w:style>
  <w:style w:type="paragraph" w:customStyle="1" w:styleId="VDWCbulletafternumbers1">
    <w:name w:val="VDWC bullet after numbers 1"/>
    <w:basedOn w:val="VDWCbody"/>
    <w:uiPriority w:val="4"/>
    <w:rsid w:val="00460FC1"/>
    <w:pPr>
      <w:numPr>
        <w:ilvl w:val="2"/>
        <w:numId w:val="2"/>
      </w:numPr>
    </w:pPr>
  </w:style>
  <w:style w:type="character" w:styleId="Hyperlink">
    <w:name w:val="Hyperlink"/>
    <w:uiPriority w:val="99"/>
    <w:rsid w:val="007A11E8"/>
    <w:rPr>
      <w:color w:val="0072CE"/>
      <w:u w:val="dotted"/>
    </w:rPr>
  </w:style>
  <w:style w:type="paragraph" w:customStyle="1" w:styleId="VDWCmainsubheading">
    <w:name w:val="VDWC main subheading"/>
    <w:uiPriority w:val="8"/>
    <w:rsid w:val="00EE0131"/>
    <w:pPr>
      <w:jc w:val="right"/>
    </w:pPr>
    <w:rPr>
      <w:rFonts w:ascii="Arial" w:hAnsi="Arial"/>
      <w:color w:val="1D1937"/>
      <w:sz w:val="22"/>
      <w:szCs w:val="22"/>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VDWC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06F34"/>
    <w:pPr>
      <w:numPr>
        <w:numId w:val="3"/>
      </w:numPr>
    </w:pPr>
  </w:style>
  <w:style w:type="numbering" w:customStyle="1" w:styleId="ZZNumbersdigit">
    <w:name w:val="ZZ Numbers digit"/>
    <w:rsid w:val="00460FC1"/>
    <w:pPr>
      <w:numPr>
        <w:numId w:val="1"/>
      </w:numPr>
    </w:pPr>
  </w:style>
  <w:style w:type="numbering" w:customStyle="1" w:styleId="ZZQuotebullets">
    <w:name w:val="ZZ Quote bullets"/>
    <w:basedOn w:val="ZZNumbersdigit"/>
    <w:rsid w:val="00506F34"/>
    <w:pPr>
      <w:numPr>
        <w:numId w:val="5"/>
      </w:numPr>
    </w:pPr>
  </w:style>
  <w:style w:type="paragraph" w:customStyle="1" w:styleId="VDWCnumberdigit">
    <w:name w:val="VDWC number digit"/>
    <w:basedOn w:val="VDWCbody"/>
    <w:uiPriority w:val="2"/>
    <w:rsid w:val="00460FC1"/>
    <w:pPr>
      <w:numPr>
        <w:numId w:val="2"/>
      </w:numPr>
    </w:pPr>
  </w:style>
  <w:style w:type="paragraph" w:customStyle="1" w:styleId="VDWCnumberloweralphaindent">
    <w:name w:val="VDWC number lower alpha indent"/>
    <w:basedOn w:val="VDWCbody"/>
    <w:uiPriority w:val="3"/>
    <w:rsid w:val="00506F34"/>
    <w:pPr>
      <w:numPr>
        <w:ilvl w:val="1"/>
        <w:numId w:val="8"/>
      </w:numPr>
    </w:pPr>
  </w:style>
  <w:style w:type="paragraph" w:customStyle="1" w:styleId="VDWCnumberdigitindent">
    <w:name w:val="VDWC number digit indent"/>
    <w:basedOn w:val="VDWCnumberloweralphaindent"/>
    <w:uiPriority w:val="3"/>
    <w:rsid w:val="00460FC1"/>
    <w:pPr>
      <w:numPr>
        <w:numId w:val="2"/>
      </w:numPr>
    </w:pPr>
  </w:style>
  <w:style w:type="paragraph" w:customStyle="1" w:styleId="VDWCnumberloweralpha">
    <w:name w:val="VDWC number lower alpha"/>
    <w:basedOn w:val="VDWCbody"/>
    <w:uiPriority w:val="3"/>
    <w:rsid w:val="00506F34"/>
    <w:pPr>
      <w:numPr>
        <w:numId w:val="8"/>
      </w:numPr>
    </w:pPr>
  </w:style>
  <w:style w:type="paragraph" w:customStyle="1" w:styleId="VDWCnumberlowerroman">
    <w:name w:val="VDWC number lower roman"/>
    <w:basedOn w:val="VDWCbody"/>
    <w:uiPriority w:val="3"/>
    <w:rsid w:val="00506F34"/>
    <w:pPr>
      <w:numPr>
        <w:numId w:val="6"/>
      </w:numPr>
    </w:pPr>
  </w:style>
  <w:style w:type="paragraph" w:customStyle="1" w:styleId="VDWCnumberlowerromanindent">
    <w:name w:val="VDWC number lower roman indent"/>
    <w:basedOn w:val="VDWCbody"/>
    <w:uiPriority w:val="3"/>
    <w:rsid w:val="00506F34"/>
    <w:pPr>
      <w:numPr>
        <w:ilvl w:val="1"/>
        <w:numId w:val="6"/>
      </w:numPr>
    </w:pPr>
  </w:style>
  <w:style w:type="paragraph" w:customStyle="1" w:styleId="VDWCquote">
    <w:name w:val="VDWC quote"/>
    <w:basedOn w:val="VDWCbody"/>
    <w:uiPriority w:val="4"/>
    <w:rsid w:val="00152073"/>
    <w:pPr>
      <w:ind w:left="397"/>
    </w:pPr>
    <w:rPr>
      <w:szCs w:val="18"/>
    </w:rPr>
  </w:style>
  <w:style w:type="paragraph" w:customStyle="1" w:styleId="VDWCtablefigurenote">
    <w:name w:val="VDWC table/figure note"/>
    <w:uiPriority w:val="4"/>
    <w:rsid w:val="00A330BB"/>
    <w:pPr>
      <w:spacing w:before="60" w:after="60" w:line="240" w:lineRule="exact"/>
    </w:pPr>
    <w:rPr>
      <w:rFonts w:ascii="Arial" w:hAnsi="Arial"/>
      <w:sz w:val="18"/>
      <w:lang w:eastAsia="en-US"/>
    </w:rPr>
  </w:style>
  <w:style w:type="paragraph" w:customStyle="1" w:styleId="VDWCbodyaftertablefigure">
    <w:name w:val="VDWC body after table/figure"/>
    <w:basedOn w:val="VDWCbody"/>
    <w:next w:val="VDWCbody"/>
    <w:uiPriority w:val="1"/>
    <w:rsid w:val="00951D50"/>
    <w:pPr>
      <w:spacing w:before="240"/>
    </w:pPr>
  </w:style>
  <w:style w:type="paragraph" w:customStyle="1" w:styleId="VDWCfooter">
    <w:name w:val="VDWC footer"/>
    <w:uiPriority w:val="11"/>
    <w:rsid w:val="0051568D"/>
    <w:pPr>
      <w:tabs>
        <w:tab w:val="right" w:pos="10206"/>
      </w:tabs>
    </w:pPr>
    <w:rPr>
      <w:rFonts w:ascii="Arial" w:hAnsi="Arial" w:cs="Arial"/>
      <w:sz w:val="18"/>
      <w:szCs w:val="18"/>
      <w:lang w:eastAsia="en-US"/>
    </w:rPr>
  </w:style>
  <w:style w:type="paragraph" w:customStyle="1" w:styleId="VDWCheader">
    <w:name w:val="VDWC header"/>
    <w:basedOn w:val="VDWCfooter"/>
    <w:uiPriority w:val="11"/>
    <w:rsid w:val="0051568D"/>
  </w:style>
  <w:style w:type="paragraph" w:customStyle="1" w:styleId="VDWCbulletafternumbers2">
    <w:name w:val="VDWC bullet after numbers 2"/>
    <w:basedOn w:val="VDWCbody"/>
    <w:rsid w:val="00460FC1"/>
    <w:pPr>
      <w:numPr>
        <w:ilvl w:val="3"/>
        <w:numId w:val="2"/>
      </w:numPr>
    </w:pPr>
  </w:style>
  <w:style w:type="numbering" w:customStyle="1" w:styleId="ZZNumberslowerroman">
    <w:name w:val="ZZ Numbers lower roman"/>
    <w:basedOn w:val="ZZQuotebullets"/>
    <w:rsid w:val="00506F34"/>
    <w:pPr>
      <w:numPr>
        <w:numId w:val="6"/>
      </w:numPr>
    </w:pPr>
  </w:style>
  <w:style w:type="numbering" w:customStyle="1" w:styleId="ZZNumbersloweralpha">
    <w:name w:val="ZZ Numbers lower alpha"/>
    <w:basedOn w:val="NoList"/>
    <w:rsid w:val="00506F34"/>
    <w:pPr>
      <w:numPr>
        <w:numId w:val="7"/>
      </w:numPr>
    </w:pPr>
  </w:style>
  <w:style w:type="paragraph" w:customStyle="1" w:styleId="VDWCquotebullet1">
    <w:name w:val="VDWC quote bullet 1"/>
    <w:basedOn w:val="VDWCquote"/>
    <w:rsid w:val="00506F34"/>
    <w:pPr>
      <w:numPr>
        <w:numId w:val="5"/>
      </w:numPr>
    </w:pPr>
  </w:style>
  <w:style w:type="paragraph" w:customStyle="1" w:styleId="VDWCquotebullet2">
    <w:name w:val="VDWC quote bullet 2"/>
    <w:basedOn w:val="VDWCquote"/>
    <w:rsid w:val="00506F34"/>
    <w:pPr>
      <w:numPr>
        <w:ilvl w:val="1"/>
        <w:numId w:val="5"/>
      </w:numPr>
    </w:pPr>
  </w:style>
  <w:style w:type="paragraph" w:styleId="BalloonText">
    <w:name w:val="Balloon Text"/>
    <w:basedOn w:val="Normal"/>
    <w:link w:val="BalloonTextChar"/>
    <w:uiPriority w:val="99"/>
    <w:semiHidden/>
    <w:unhideWhenUsed/>
    <w:rsid w:val="001411E6"/>
    <w:rPr>
      <w:rFonts w:ascii="Segoe UI" w:hAnsi="Segoe UI" w:cs="Segoe UI"/>
      <w:sz w:val="18"/>
      <w:szCs w:val="18"/>
    </w:rPr>
  </w:style>
  <w:style w:type="character" w:customStyle="1" w:styleId="BalloonTextChar">
    <w:name w:val="Balloon Text Char"/>
    <w:link w:val="BalloonText"/>
    <w:uiPriority w:val="99"/>
    <w:semiHidden/>
    <w:rsid w:val="001411E6"/>
    <w:rPr>
      <w:rFonts w:ascii="Segoe UI" w:hAnsi="Segoe UI" w:cs="Segoe UI"/>
      <w:sz w:val="18"/>
      <w:szCs w:val="18"/>
      <w:lang w:eastAsia="en-US"/>
    </w:rPr>
  </w:style>
  <w:style w:type="character" w:customStyle="1" w:styleId="UnresolvedMention1">
    <w:name w:val="Unresolved Mention1"/>
    <w:uiPriority w:val="99"/>
    <w:semiHidden/>
    <w:unhideWhenUsed/>
    <w:rsid w:val="00CF229B"/>
    <w:rPr>
      <w:color w:val="605E5C"/>
      <w:shd w:val="clear" w:color="auto" w:fill="E1DFDD"/>
    </w:rPr>
  </w:style>
  <w:style w:type="character" w:customStyle="1" w:styleId="FooterChar">
    <w:name w:val="Footer Char"/>
    <w:link w:val="Footer"/>
    <w:uiPriority w:val="99"/>
    <w:rsid w:val="00EA5C95"/>
    <w:rPr>
      <w:rFonts w:ascii="Arial" w:hAnsi="Arial" w:cs="Arial"/>
      <w:sz w:val="18"/>
      <w:szCs w:val="18"/>
      <w:lang w:eastAsia="en-US"/>
    </w:rPr>
  </w:style>
  <w:style w:type="character" w:styleId="CommentReference">
    <w:name w:val="annotation reference"/>
    <w:basedOn w:val="DefaultParagraphFont"/>
    <w:semiHidden/>
    <w:unhideWhenUsed/>
    <w:rsid w:val="007F540E"/>
    <w:rPr>
      <w:sz w:val="16"/>
      <w:szCs w:val="16"/>
    </w:rPr>
  </w:style>
  <w:style w:type="paragraph" w:styleId="CommentText">
    <w:name w:val="annotation text"/>
    <w:basedOn w:val="Normal"/>
    <w:link w:val="CommentTextChar"/>
    <w:semiHidden/>
    <w:unhideWhenUsed/>
    <w:rsid w:val="007F540E"/>
  </w:style>
  <w:style w:type="character" w:customStyle="1" w:styleId="CommentTextChar">
    <w:name w:val="Comment Text Char"/>
    <w:basedOn w:val="DefaultParagraphFont"/>
    <w:link w:val="CommentText"/>
    <w:semiHidden/>
    <w:rsid w:val="007F540E"/>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7F540E"/>
    <w:rPr>
      <w:b/>
      <w:bCs/>
    </w:rPr>
  </w:style>
  <w:style w:type="character" w:customStyle="1" w:styleId="CommentSubjectChar">
    <w:name w:val="Comment Subject Char"/>
    <w:basedOn w:val="CommentTextChar"/>
    <w:link w:val="CommentSubject"/>
    <w:uiPriority w:val="99"/>
    <w:semiHidden/>
    <w:rsid w:val="007F540E"/>
    <w:rPr>
      <w:rFonts w:ascii="Cambria" w:hAnsi="Cambria"/>
      <w:b/>
      <w:bCs/>
      <w:lang w:eastAsia="en-US"/>
    </w:rPr>
  </w:style>
  <w:style w:type="paragraph" w:styleId="Revision">
    <w:name w:val="Revision"/>
    <w:hidden/>
    <w:uiPriority w:val="71"/>
    <w:rsid w:val="00793F57"/>
    <w:rPr>
      <w:rFonts w:ascii="Cambria" w:hAnsi="Cambria"/>
      <w:lang w:eastAsia="en-US"/>
    </w:rPr>
  </w:style>
  <w:style w:type="numbering" w:customStyle="1" w:styleId="LDStandardList">
    <w:name w:val="LD_StandardList"/>
    <w:uiPriority w:val="99"/>
    <w:rsid w:val="00A9612A"/>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8417">
      <w:bodyDiv w:val="1"/>
      <w:marLeft w:val="0"/>
      <w:marRight w:val="0"/>
      <w:marTop w:val="0"/>
      <w:marBottom w:val="0"/>
      <w:divBdr>
        <w:top w:val="none" w:sz="0" w:space="0" w:color="auto"/>
        <w:left w:val="none" w:sz="0" w:space="0" w:color="auto"/>
        <w:bottom w:val="none" w:sz="0" w:space="0" w:color="auto"/>
        <w:right w:val="none" w:sz="0" w:space="0" w:color="auto"/>
      </w:divBdr>
    </w:div>
    <w:div w:id="60103108">
      <w:bodyDiv w:val="1"/>
      <w:marLeft w:val="0"/>
      <w:marRight w:val="0"/>
      <w:marTop w:val="0"/>
      <w:marBottom w:val="0"/>
      <w:divBdr>
        <w:top w:val="none" w:sz="0" w:space="0" w:color="auto"/>
        <w:left w:val="none" w:sz="0" w:space="0" w:color="auto"/>
        <w:bottom w:val="none" w:sz="0" w:space="0" w:color="auto"/>
        <w:right w:val="none" w:sz="0" w:space="0" w:color="auto"/>
      </w:divBdr>
    </w:div>
    <w:div w:id="77017770">
      <w:bodyDiv w:val="1"/>
      <w:marLeft w:val="0"/>
      <w:marRight w:val="0"/>
      <w:marTop w:val="0"/>
      <w:marBottom w:val="0"/>
      <w:divBdr>
        <w:top w:val="none" w:sz="0" w:space="0" w:color="auto"/>
        <w:left w:val="none" w:sz="0" w:space="0" w:color="auto"/>
        <w:bottom w:val="none" w:sz="0" w:space="0" w:color="auto"/>
        <w:right w:val="none" w:sz="0" w:space="0" w:color="auto"/>
      </w:divBdr>
    </w:div>
    <w:div w:id="271933778">
      <w:bodyDiv w:val="1"/>
      <w:marLeft w:val="0"/>
      <w:marRight w:val="0"/>
      <w:marTop w:val="0"/>
      <w:marBottom w:val="0"/>
      <w:divBdr>
        <w:top w:val="none" w:sz="0" w:space="0" w:color="auto"/>
        <w:left w:val="none" w:sz="0" w:space="0" w:color="auto"/>
        <w:bottom w:val="none" w:sz="0" w:space="0" w:color="auto"/>
        <w:right w:val="none" w:sz="0" w:space="0" w:color="auto"/>
      </w:divBdr>
    </w:div>
    <w:div w:id="281965520">
      <w:bodyDiv w:val="1"/>
      <w:marLeft w:val="0"/>
      <w:marRight w:val="0"/>
      <w:marTop w:val="0"/>
      <w:marBottom w:val="0"/>
      <w:divBdr>
        <w:top w:val="none" w:sz="0" w:space="0" w:color="auto"/>
        <w:left w:val="none" w:sz="0" w:space="0" w:color="auto"/>
        <w:bottom w:val="none" w:sz="0" w:space="0" w:color="auto"/>
        <w:right w:val="none" w:sz="0" w:space="0" w:color="auto"/>
      </w:divBdr>
    </w:div>
    <w:div w:id="337585382">
      <w:bodyDiv w:val="1"/>
      <w:marLeft w:val="0"/>
      <w:marRight w:val="0"/>
      <w:marTop w:val="0"/>
      <w:marBottom w:val="0"/>
      <w:divBdr>
        <w:top w:val="none" w:sz="0" w:space="0" w:color="auto"/>
        <w:left w:val="none" w:sz="0" w:space="0" w:color="auto"/>
        <w:bottom w:val="none" w:sz="0" w:space="0" w:color="auto"/>
        <w:right w:val="none" w:sz="0" w:space="0" w:color="auto"/>
      </w:divBdr>
    </w:div>
    <w:div w:id="346947719">
      <w:bodyDiv w:val="1"/>
      <w:marLeft w:val="0"/>
      <w:marRight w:val="0"/>
      <w:marTop w:val="0"/>
      <w:marBottom w:val="0"/>
      <w:divBdr>
        <w:top w:val="none" w:sz="0" w:space="0" w:color="auto"/>
        <w:left w:val="none" w:sz="0" w:space="0" w:color="auto"/>
        <w:bottom w:val="none" w:sz="0" w:space="0" w:color="auto"/>
        <w:right w:val="none" w:sz="0" w:space="0" w:color="auto"/>
      </w:divBdr>
    </w:div>
    <w:div w:id="347951242">
      <w:bodyDiv w:val="1"/>
      <w:marLeft w:val="0"/>
      <w:marRight w:val="0"/>
      <w:marTop w:val="0"/>
      <w:marBottom w:val="0"/>
      <w:divBdr>
        <w:top w:val="none" w:sz="0" w:space="0" w:color="auto"/>
        <w:left w:val="none" w:sz="0" w:space="0" w:color="auto"/>
        <w:bottom w:val="none" w:sz="0" w:space="0" w:color="auto"/>
        <w:right w:val="none" w:sz="0" w:space="0" w:color="auto"/>
      </w:divBdr>
    </w:div>
    <w:div w:id="390618988">
      <w:bodyDiv w:val="1"/>
      <w:marLeft w:val="0"/>
      <w:marRight w:val="0"/>
      <w:marTop w:val="0"/>
      <w:marBottom w:val="0"/>
      <w:divBdr>
        <w:top w:val="none" w:sz="0" w:space="0" w:color="auto"/>
        <w:left w:val="none" w:sz="0" w:space="0" w:color="auto"/>
        <w:bottom w:val="none" w:sz="0" w:space="0" w:color="auto"/>
        <w:right w:val="none" w:sz="0" w:space="0" w:color="auto"/>
      </w:divBdr>
    </w:div>
    <w:div w:id="466437206">
      <w:bodyDiv w:val="1"/>
      <w:marLeft w:val="0"/>
      <w:marRight w:val="0"/>
      <w:marTop w:val="0"/>
      <w:marBottom w:val="0"/>
      <w:divBdr>
        <w:top w:val="none" w:sz="0" w:space="0" w:color="auto"/>
        <w:left w:val="none" w:sz="0" w:space="0" w:color="auto"/>
        <w:bottom w:val="none" w:sz="0" w:space="0" w:color="auto"/>
        <w:right w:val="none" w:sz="0" w:space="0" w:color="auto"/>
      </w:divBdr>
    </w:div>
    <w:div w:id="475147134">
      <w:bodyDiv w:val="1"/>
      <w:marLeft w:val="0"/>
      <w:marRight w:val="0"/>
      <w:marTop w:val="0"/>
      <w:marBottom w:val="0"/>
      <w:divBdr>
        <w:top w:val="none" w:sz="0" w:space="0" w:color="auto"/>
        <w:left w:val="none" w:sz="0" w:space="0" w:color="auto"/>
        <w:bottom w:val="none" w:sz="0" w:space="0" w:color="auto"/>
        <w:right w:val="none" w:sz="0" w:space="0" w:color="auto"/>
      </w:divBdr>
    </w:div>
    <w:div w:id="479152453">
      <w:bodyDiv w:val="1"/>
      <w:marLeft w:val="0"/>
      <w:marRight w:val="0"/>
      <w:marTop w:val="0"/>
      <w:marBottom w:val="0"/>
      <w:divBdr>
        <w:top w:val="none" w:sz="0" w:space="0" w:color="auto"/>
        <w:left w:val="none" w:sz="0" w:space="0" w:color="auto"/>
        <w:bottom w:val="none" w:sz="0" w:space="0" w:color="auto"/>
        <w:right w:val="none" w:sz="0" w:space="0" w:color="auto"/>
      </w:divBdr>
    </w:div>
    <w:div w:id="493036304">
      <w:bodyDiv w:val="1"/>
      <w:marLeft w:val="0"/>
      <w:marRight w:val="0"/>
      <w:marTop w:val="0"/>
      <w:marBottom w:val="0"/>
      <w:divBdr>
        <w:top w:val="none" w:sz="0" w:space="0" w:color="auto"/>
        <w:left w:val="none" w:sz="0" w:space="0" w:color="auto"/>
        <w:bottom w:val="none" w:sz="0" w:space="0" w:color="auto"/>
        <w:right w:val="none" w:sz="0" w:space="0" w:color="auto"/>
      </w:divBdr>
    </w:div>
    <w:div w:id="506948631">
      <w:bodyDiv w:val="1"/>
      <w:marLeft w:val="0"/>
      <w:marRight w:val="0"/>
      <w:marTop w:val="0"/>
      <w:marBottom w:val="0"/>
      <w:divBdr>
        <w:top w:val="none" w:sz="0" w:space="0" w:color="auto"/>
        <w:left w:val="none" w:sz="0" w:space="0" w:color="auto"/>
        <w:bottom w:val="none" w:sz="0" w:space="0" w:color="auto"/>
        <w:right w:val="none" w:sz="0" w:space="0" w:color="auto"/>
      </w:divBdr>
    </w:div>
    <w:div w:id="512570075">
      <w:bodyDiv w:val="1"/>
      <w:marLeft w:val="0"/>
      <w:marRight w:val="0"/>
      <w:marTop w:val="0"/>
      <w:marBottom w:val="0"/>
      <w:divBdr>
        <w:top w:val="none" w:sz="0" w:space="0" w:color="auto"/>
        <w:left w:val="none" w:sz="0" w:space="0" w:color="auto"/>
        <w:bottom w:val="none" w:sz="0" w:space="0" w:color="auto"/>
        <w:right w:val="none" w:sz="0" w:space="0" w:color="auto"/>
      </w:divBdr>
    </w:div>
    <w:div w:id="524557103">
      <w:bodyDiv w:val="1"/>
      <w:marLeft w:val="0"/>
      <w:marRight w:val="0"/>
      <w:marTop w:val="0"/>
      <w:marBottom w:val="0"/>
      <w:divBdr>
        <w:top w:val="none" w:sz="0" w:space="0" w:color="auto"/>
        <w:left w:val="none" w:sz="0" w:space="0" w:color="auto"/>
        <w:bottom w:val="none" w:sz="0" w:space="0" w:color="auto"/>
        <w:right w:val="none" w:sz="0" w:space="0" w:color="auto"/>
      </w:divBdr>
      <w:divsChild>
        <w:div w:id="1473405763">
          <w:marLeft w:val="0"/>
          <w:marRight w:val="0"/>
          <w:marTop w:val="0"/>
          <w:marBottom w:val="0"/>
          <w:divBdr>
            <w:top w:val="none" w:sz="0" w:space="0" w:color="auto"/>
            <w:left w:val="none" w:sz="0" w:space="0" w:color="auto"/>
            <w:bottom w:val="none" w:sz="0" w:space="0" w:color="auto"/>
            <w:right w:val="none" w:sz="0" w:space="0" w:color="auto"/>
          </w:divBdr>
        </w:div>
      </w:divsChild>
    </w:div>
    <w:div w:id="536969188">
      <w:bodyDiv w:val="1"/>
      <w:marLeft w:val="0"/>
      <w:marRight w:val="0"/>
      <w:marTop w:val="0"/>
      <w:marBottom w:val="0"/>
      <w:divBdr>
        <w:top w:val="none" w:sz="0" w:space="0" w:color="auto"/>
        <w:left w:val="none" w:sz="0" w:space="0" w:color="auto"/>
        <w:bottom w:val="none" w:sz="0" w:space="0" w:color="auto"/>
        <w:right w:val="none" w:sz="0" w:space="0" w:color="auto"/>
      </w:divBdr>
    </w:div>
    <w:div w:id="572590046">
      <w:bodyDiv w:val="1"/>
      <w:marLeft w:val="0"/>
      <w:marRight w:val="0"/>
      <w:marTop w:val="0"/>
      <w:marBottom w:val="0"/>
      <w:divBdr>
        <w:top w:val="none" w:sz="0" w:space="0" w:color="auto"/>
        <w:left w:val="none" w:sz="0" w:space="0" w:color="auto"/>
        <w:bottom w:val="none" w:sz="0" w:space="0" w:color="auto"/>
        <w:right w:val="none" w:sz="0" w:space="0" w:color="auto"/>
      </w:divBdr>
    </w:div>
    <w:div w:id="582033631">
      <w:bodyDiv w:val="1"/>
      <w:marLeft w:val="0"/>
      <w:marRight w:val="0"/>
      <w:marTop w:val="0"/>
      <w:marBottom w:val="0"/>
      <w:divBdr>
        <w:top w:val="none" w:sz="0" w:space="0" w:color="auto"/>
        <w:left w:val="none" w:sz="0" w:space="0" w:color="auto"/>
        <w:bottom w:val="none" w:sz="0" w:space="0" w:color="auto"/>
        <w:right w:val="none" w:sz="0" w:space="0" w:color="auto"/>
      </w:divBdr>
    </w:div>
    <w:div w:id="616445542">
      <w:bodyDiv w:val="1"/>
      <w:marLeft w:val="0"/>
      <w:marRight w:val="0"/>
      <w:marTop w:val="0"/>
      <w:marBottom w:val="0"/>
      <w:divBdr>
        <w:top w:val="none" w:sz="0" w:space="0" w:color="auto"/>
        <w:left w:val="none" w:sz="0" w:space="0" w:color="auto"/>
        <w:bottom w:val="none" w:sz="0" w:space="0" w:color="auto"/>
        <w:right w:val="none" w:sz="0" w:space="0" w:color="auto"/>
      </w:divBdr>
    </w:div>
    <w:div w:id="651176701">
      <w:bodyDiv w:val="1"/>
      <w:marLeft w:val="0"/>
      <w:marRight w:val="0"/>
      <w:marTop w:val="0"/>
      <w:marBottom w:val="0"/>
      <w:divBdr>
        <w:top w:val="none" w:sz="0" w:space="0" w:color="auto"/>
        <w:left w:val="none" w:sz="0" w:space="0" w:color="auto"/>
        <w:bottom w:val="none" w:sz="0" w:space="0" w:color="auto"/>
        <w:right w:val="none" w:sz="0" w:space="0" w:color="auto"/>
      </w:divBdr>
    </w:div>
    <w:div w:id="657197008">
      <w:bodyDiv w:val="1"/>
      <w:marLeft w:val="0"/>
      <w:marRight w:val="0"/>
      <w:marTop w:val="0"/>
      <w:marBottom w:val="0"/>
      <w:divBdr>
        <w:top w:val="none" w:sz="0" w:space="0" w:color="auto"/>
        <w:left w:val="none" w:sz="0" w:space="0" w:color="auto"/>
        <w:bottom w:val="none" w:sz="0" w:space="0" w:color="auto"/>
        <w:right w:val="none" w:sz="0" w:space="0" w:color="auto"/>
      </w:divBdr>
    </w:div>
    <w:div w:id="667755672">
      <w:bodyDiv w:val="1"/>
      <w:marLeft w:val="0"/>
      <w:marRight w:val="0"/>
      <w:marTop w:val="0"/>
      <w:marBottom w:val="0"/>
      <w:divBdr>
        <w:top w:val="none" w:sz="0" w:space="0" w:color="auto"/>
        <w:left w:val="none" w:sz="0" w:space="0" w:color="auto"/>
        <w:bottom w:val="none" w:sz="0" w:space="0" w:color="auto"/>
        <w:right w:val="none" w:sz="0" w:space="0" w:color="auto"/>
      </w:divBdr>
    </w:div>
    <w:div w:id="680090265">
      <w:bodyDiv w:val="1"/>
      <w:marLeft w:val="0"/>
      <w:marRight w:val="0"/>
      <w:marTop w:val="0"/>
      <w:marBottom w:val="0"/>
      <w:divBdr>
        <w:top w:val="none" w:sz="0" w:space="0" w:color="auto"/>
        <w:left w:val="none" w:sz="0" w:space="0" w:color="auto"/>
        <w:bottom w:val="none" w:sz="0" w:space="0" w:color="auto"/>
        <w:right w:val="none" w:sz="0" w:space="0" w:color="auto"/>
      </w:divBdr>
    </w:div>
    <w:div w:id="683633495">
      <w:bodyDiv w:val="1"/>
      <w:marLeft w:val="0"/>
      <w:marRight w:val="0"/>
      <w:marTop w:val="0"/>
      <w:marBottom w:val="0"/>
      <w:divBdr>
        <w:top w:val="none" w:sz="0" w:space="0" w:color="auto"/>
        <w:left w:val="none" w:sz="0" w:space="0" w:color="auto"/>
        <w:bottom w:val="none" w:sz="0" w:space="0" w:color="auto"/>
        <w:right w:val="none" w:sz="0" w:space="0" w:color="auto"/>
      </w:divBdr>
    </w:div>
    <w:div w:id="684551915">
      <w:bodyDiv w:val="1"/>
      <w:marLeft w:val="0"/>
      <w:marRight w:val="0"/>
      <w:marTop w:val="0"/>
      <w:marBottom w:val="0"/>
      <w:divBdr>
        <w:top w:val="none" w:sz="0" w:space="0" w:color="auto"/>
        <w:left w:val="none" w:sz="0" w:space="0" w:color="auto"/>
        <w:bottom w:val="none" w:sz="0" w:space="0" w:color="auto"/>
        <w:right w:val="none" w:sz="0" w:space="0" w:color="auto"/>
      </w:divBdr>
    </w:div>
    <w:div w:id="688028443">
      <w:bodyDiv w:val="1"/>
      <w:marLeft w:val="0"/>
      <w:marRight w:val="0"/>
      <w:marTop w:val="0"/>
      <w:marBottom w:val="0"/>
      <w:divBdr>
        <w:top w:val="none" w:sz="0" w:space="0" w:color="auto"/>
        <w:left w:val="none" w:sz="0" w:space="0" w:color="auto"/>
        <w:bottom w:val="none" w:sz="0" w:space="0" w:color="auto"/>
        <w:right w:val="none" w:sz="0" w:space="0" w:color="auto"/>
      </w:divBdr>
    </w:div>
    <w:div w:id="706757676">
      <w:bodyDiv w:val="1"/>
      <w:marLeft w:val="0"/>
      <w:marRight w:val="0"/>
      <w:marTop w:val="0"/>
      <w:marBottom w:val="0"/>
      <w:divBdr>
        <w:top w:val="none" w:sz="0" w:space="0" w:color="auto"/>
        <w:left w:val="none" w:sz="0" w:space="0" w:color="auto"/>
        <w:bottom w:val="none" w:sz="0" w:space="0" w:color="auto"/>
        <w:right w:val="none" w:sz="0" w:space="0" w:color="auto"/>
      </w:divBdr>
    </w:div>
    <w:div w:id="718281799">
      <w:bodyDiv w:val="1"/>
      <w:marLeft w:val="0"/>
      <w:marRight w:val="0"/>
      <w:marTop w:val="0"/>
      <w:marBottom w:val="0"/>
      <w:divBdr>
        <w:top w:val="none" w:sz="0" w:space="0" w:color="auto"/>
        <w:left w:val="none" w:sz="0" w:space="0" w:color="auto"/>
        <w:bottom w:val="none" w:sz="0" w:space="0" w:color="auto"/>
        <w:right w:val="none" w:sz="0" w:space="0" w:color="auto"/>
      </w:divBdr>
    </w:div>
    <w:div w:id="748575939">
      <w:bodyDiv w:val="1"/>
      <w:marLeft w:val="0"/>
      <w:marRight w:val="0"/>
      <w:marTop w:val="0"/>
      <w:marBottom w:val="0"/>
      <w:divBdr>
        <w:top w:val="none" w:sz="0" w:space="0" w:color="auto"/>
        <w:left w:val="none" w:sz="0" w:space="0" w:color="auto"/>
        <w:bottom w:val="none" w:sz="0" w:space="0" w:color="auto"/>
        <w:right w:val="none" w:sz="0" w:space="0" w:color="auto"/>
      </w:divBdr>
    </w:div>
    <w:div w:id="756095659">
      <w:bodyDiv w:val="1"/>
      <w:marLeft w:val="0"/>
      <w:marRight w:val="0"/>
      <w:marTop w:val="0"/>
      <w:marBottom w:val="0"/>
      <w:divBdr>
        <w:top w:val="none" w:sz="0" w:space="0" w:color="auto"/>
        <w:left w:val="none" w:sz="0" w:space="0" w:color="auto"/>
        <w:bottom w:val="none" w:sz="0" w:space="0" w:color="auto"/>
        <w:right w:val="none" w:sz="0" w:space="0" w:color="auto"/>
      </w:divBdr>
    </w:div>
    <w:div w:id="787969521">
      <w:bodyDiv w:val="1"/>
      <w:marLeft w:val="0"/>
      <w:marRight w:val="0"/>
      <w:marTop w:val="0"/>
      <w:marBottom w:val="0"/>
      <w:divBdr>
        <w:top w:val="none" w:sz="0" w:space="0" w:color="auto"/>
        <w:left w:val="none" w:sz="0" w:space="0" w:color="auto"/>
        <w:bottom w:val="none" w:sz="0" w:space="0" w:color="auto"/>
        <w:right w:val="none" w:sz="0" w:space="0" w:color="auto"/>
      </w:divBdr>
    </w:div>
    <w:div w:id="789670815">
      <w:bodyDiv w:val="1"/>
      <w:marLeft w:val="0"/>
      <w:marRight w:val="0"/>
      <w:marTop w:val="0"/>
      <w:marBottom w:val="0"/>
      <w:divBdr>
        <w:top w:val="none" w:sz="0" w:space="0" w:color="auto"/>
        <w:left w:val="none" w:sz="0" w:space="0" w:color="auto"/>
        <w:bottom w:val="none" w:sz="0" w:space="0" w:color="auto"/>
        <w:right w:val="none" w:sz="0" w:space="0" w:color="auto"/>
      </w:divBdr>
    </w:div>
    <w:div w:id="836306137">
      <w:bodyDiv w:val="1"/>
      <w:marLeft w:val="0"/>
      <w:marRight w:val="0"/>
      <w:marTop w:val="0"/>
      <w:marBottom w:val="0"/>
      <w:divBdr>
        <w:top w:val="none" w:sz="0" w:space="0" w:color="auto"/>
        <w:left w:val="none" w:sz="0" w:space="0" w:color="auto"/>
        <w:bottom w:val="none" w:sz="0" w:space="0" w:color="auto"/>
        <w:right w:val="none" w:sz="0" w:space="0" w:color="auto"/>
      </w:divBdr>
    </w:div>
    <w:div w:id="843400038">
      <w:bodyDiv w:val="1"/>
      <w:marLeft w:val="0"/>
      <w:marRight w:val="0"/>
      <w:marTop w:val="0"/>
      <w:marBottom w:val="0"/>
      <w:divBdr>
        <w:top w:val="none" w:sz="0" w:space="0" w:color="auto"/>
        <w:left w:val="none" w:sz="0" w:space="0" w:color="auto"/>
        <w:bottom w:val="none" w:sz="0" w:space="0" w:color="auto"/>
        <w:right w:val="none" w:sz="0" w:space="0" w:color="auto"/>
      </w:divBdr>
    </w:div>
    <w:div w:id="8509915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5074105">
      <w:bodyDiv w:val="1"/>
      <w:marLeft w:val="0"/>
      <w:marRight w:val="0"/>
      <w:marTop w:val="0"/>
      <w:marBottom w:val="0"/>
      <w:divBdr>
        <w:top w:val="none" w:sz="0" w:space="0" w:color="auto"/>
        <w:left w:val="none" w:sz="0" w:space="0" w:color="auto"/>
        <w:bottom w:val="none" w:sz="0" w:space="0" w:color="auto"/>
        <w:right w:val="none" w:sz="0" w:space="0" w:color="auto"/>
      </w:divBdr>
    </w:div>
    <w:div w:id="864364537">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7934983">
      <w:bodyDiv w:val="1"/>
      <w:marLeft w:val="0"/>
      <w:marRight w:val="0"/>
      <w:marTop w:val="0"/>
      <w:marBottom w:val="0"/>
      <w:divBdr>
        <w:top w:val="none" w:sz="0" w:space="0" w:color="auto"/>
        <w:left w:val="none" w:sz="0" w:space="0" w:color="auto"/>
        <w:bottom w:val="none" w:sz="0" w:space="0" w:color="auto"/>
        <w:right w:val="none" w:sz="0" w:space="0" w:color="auto"/>
      </w:divBdr>
    </w:div>
    <w:div w:id="894124517">
      <w:bodyDiv w:val="1"/>
      <w:marLeft w:val="0"/>
      <w:marRight w:val="0"/>
      <w:marTop w:val="0"/>
      <w:marBottom w:val="0"/>
      <w:divBdr>
        <w:top w:val="none" w:sz="0" w:space="0" w:color="auto"/>
        <w:left w:val="none" w:sz="0" w:space="0" w:color="auto"/>
        <w:bottom w:val="none" w:sz="0" w:space="0" w:color="auto"/>
        <w:right w:val="none" w:sz="0" w:space="0" w:color="auto"/>
      </w:divBdr>
    </w:div>
    <w:div w:id="950168752">
      <w:bodyDiv w:val="1"/>
      <w:marLeft w:val="0"/>
      <w:marRight w:val="0"/>
      <w:marTop w:val="0"/>
      <w:marBottom w:val="0"/>
      <w:divBdr>
        <w:top w:val="none" w:sz="0" w:space="0" w:color="auto"/>
        <w:left w:val="none" w:sz="0" w:space="0" w:color="auto"/>
        <w:bottom w:val="none" w:sz="0" w:space="0" w:color="auto"/>
        <w:right w:val="none" w:sz="0" w:space="0" w:color="auto"/>
      </w:divBdr>
    </w:div>
    <w:div w:id="951403287">
      <w:bodyDiv w:val="1"/>
      <w:marLeft w:val="0"/>
      <w:marRight w:val="0"/>
      <w:marTop w:val="0"/>
      <w:marBottom w:val="0"/>
      <w:divBdr>
        <w:top w:val="none" w:sz="0" w:space="0" w:color="auto"/>
        <w:left w:val="none" w:sz="0" w:space="0" w:color="auto"/>
        <w:bottom w:val="none" w:sz="0" w:space="0" w:color="auto"/>
        <w:right w:val="none" w:sz="0" w:space="0" w:color="auto"/>
      </w:divBdr>
    </w:div>
    <w:div w:id="977220345">
      <w:bodyDiv w:val="1"/>
      <w:marLeft w:val="0"/>
      <w:marRight w:val="0"/>
      <w:marTop w:val="0"/>
      <w:marBottom w:val="0"/>
      <w:divBdr>
        <w:top w:val="none" w:sz="0" w:space="0" w:color="auto"/>
        <w:left w:val="none" w:sz="0" w:space="0" w:color="auto"/>
        <w:bottom w:val="none" w:sz="0" w:space="0" w:color="auto"/>
        <w:right w:val="none" w:sz="0" w:space="0" w:color="auto"/>
      </w:divBdr>
    </w:div>
    <w:div w:id="978070887">
      <w:bodyDiv w:val="1"/>
      <w:marLeft w:val="0"/>
      <w:marRight w:val="0"/>
      <w:marTop w:val="0"/>
      <w:marBottom w:val="0"/>
      <w:divBdr>
        <w:top w:val="none" w:sz="0" w:space="0" w:color="auto"/>
        <w:left w:val="none" w:sz="0" w:space="0" w:color="auto"/>
        <w:bottom w:val="none" w:sz="0" w:space="0" w:color="auto"/>
        <w:right w:val="none" w:sz="0" w:space="0" w:color="auto"/>
      </w:divBdr>
    </w:div>
    <w:div w:id="1010986714">
      <w:bodyDiv w:val="1"/>
      <w:marLeft w:val="0"/>
      <w:marRight w:val="0"/>
      <w:marTop w:val="0"/>
      <w:marBottom w:val="0"/>
      <w:divBdr>
        <w:top w:val="none" w:sz="0" w:space="0" w:color="auto"/>
        <w:left w:val="none" w:sz="0" w:space="0" w:color="auto"/>
        <w:bottom w:val="none" w:sz="0" w:space="0" w:color="auto"/>
        <w:right w:val="none" w:sz="0" w:space="0" w:color="auto"/>
      </w:divBdr>
    </w:div>
    <w:div w:id="1023434393">
      <w:bodyDiv w:val="1"/>
      <w:marLeft w:val="0"/>
      <w:marRight w:val="0"/>
      <w:marTop w:val="0"/>
      <w:marBottom w:val="0"/>
      <w:divBdr>
        <w:top w:val="none" w:sz="0" w:space="0" w:color="auto"/>
        <w:left w:val="none" w:sz="0" w:space="0" w:color="auto"/>
        <w:bottom w:val="none" w:sz="0" w:space="0" w:color="auto"/>
        <w:right w:val="none" w:sz="0" w:space="0" w:color="auto"/>
      </w:divBdr>
      <w:divsChild>
        <w:div w:id="1947154554">
          <w:marLeft w:val="0"/>
          <w:marRight w:val="0"/>
          <w:marTop w:val="0"/>
          <w:marBottom w:val="0"/>
          <w:divBdr>
            <w:top w:val="none" w:sz="0" w:space="0" w:color="auto"/>
            <w:left w:val="none" w:sz="0" w:space="0" w:color="auto"/>
            <w:bottom w:val="none" w:sz="0" w:space="0" w:color="auto"/>
            <w:right w:val="none" w:sz="0" w:space="0" w:color="auto"/>
          </w:divBdr>
          <w:divsChild>
            <w:div w:id="421147524">
              <w:marLeft w:val="0"/>
              <w:marRight w:val="0"/>
              <w:marTop w:val="0"/>
              <w:marBottom w:val="0"/>
              <w:divBdr>
                <w:top w:val="none" w:sz="0" w:space="0" w:color="auto"/>
                <w:left w:val="none" w:sz="0" w:space="0" w:color="auto"/>
                <w:bottom w:val="none" w:sz="0" w:space="0" w:color="auto"/>
                <w:right w:val="none" w:sz="0" w:space="0" w:color="auto"/>
              </w:divBdr>
              <w:divsChild>
                <w:div w:id="1796945020">
                  <w:marLeft w:val="0"/>
                  <w:marRight w:val="0"/>
                  <w:marTop w:val="0"/>
                  <w:marBottom w:val="0"/>
                  <w:divBdr>
                    <w:top w:val="none" w:sz="0" w:space="0" w:color="auto"/>
                    <w:left w:val="none" w:sz="0" w:space="0" w:color="auto"/>
                    <w:bottom w:val="none" w:sz="0" w:space="0" w:color="auto"/>
                    <w:right w:val="none" w:sz="0" w:space="0" w:color="auto"/>
                  </w:divBdr>
                  <w:divsChild>
                    <w:div w:id="1675257909">
                      <w:marLeft w:val="0"/>
                      <w:marRight w:val="0"/>
                      <w:marTop w:val="0"/>
                      <w:marBottom w:val="0"/>
                      <w:divBdr>
                        <w:top w:val="none" w:sz="0" w:space="0" w:color="auto"/>
                        <w:left w:val="none" w:sz="0" w:space="0" w:color="auto"/>
                        <w:bottom w:val="none" w:sz="0" w:space="0" w:color="auto"/>
                        <w:right w:val="none" w:sz="0" w:space="0" w:color="auto"/>
                      </w:divBdr>
                      <w:divsChild>
                        <w:div w:id="198857139">
                          <w:marLeft w:val="0"/>
                          <w:marRight w:val="0"/>
                          <w:marTop w:val="0"/>
                          <w:marBottom w:val="0"/>
                          <w:divBdr>
                            <w:top w:val="none" w:sz="0" w:space="0" w:color="auto"/>
                            <w:left w:val="none" w:sz="0" w:space="0" w:color="auto"/>
                            <w:bottom w:val="none" w:sz="0" w:space="0" w:color="auto"/>
                            <w:right w:val="none" w:sz="0" w:space="0" w:color="auto"/>
                          </w:divBdr>
                          <w:divsChild>
                            <w:div w:id="85926754">
                              <w:marLeft w:val="0"/>
                              <w:marRight w:val="0"/>
                              <w:marTop w:val="0"/>
                              <w:marBottom w:val="0"/>
                              <w:divBdr>
                                <w:top w:val="none" w:sz="0" w:space="0" w:color="auto"/>
                                <w:left w:val="none" w:sz="0" w:space="0" w:color="auto"/>
                                <w:bottom w:val="none" w:sz="0" w:space="0" w:color="auto"/>
                                <w:right w:val="none" w:sz="0" w:space="0" w:color="auto"/>
                              </w:divBdr>
                              <w:divsChild>
                                <w:div w:id="701979504">
                                  <w:marLeft w:val="0"/>
                                  <w:marRight w:val="0"/>
                                  <w:marTop w:val="0"/>
                                  <w:marBottom w:val="0"/>
                                  <w:divBdr>
                                    <w:top w:val="none" w:sz="0" w:space="0" w:color="auto"/>
                                    <w:left w:val="none" w:sz="0" w:space="0" w:color="auto"/>
                                    <w:bottom w:val="none" w:sz="0" w:space="0" w:color="auto"/>
                                    <w:right w:val="none" w:sz="0" w:space="0" w:color="auto"/>
                                  </w:divBdr>
                                  <w:divsChild>
                                    <w:div w:id="746266057">
                                      <w:marLeft w:val="0"/>
                                      <w:marRight w:val="0"/>
                                      <w:marTop w:val="0"/>
                                      <w:marBottom w:val="0"/>
                                      <w:divBdr>
                                        <w:top w:val="none" w:sz="0" w:space="0" w:color="auto"/>
                                        <w:left w:val="none" w:sz="0" w:space="0" w:color="auto"/>
                                        <w:bottom w:val="none" w:sz="0" w:space="0" w:color="auto"/>
                                        <w:right w:val="none" w:sz="0" w:space="0" w:color="auto"/>
                                      </w:divBdr>
                                      <w:divsChild>
                                        <w:div w:id="12508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52968">
      <w:bodyDiv w:val="1"/>
      <w:marLeft w:val="0"/>
      <w:marRight w:val="0"/>
      <w:marTop w:val="0"/>
      <w:marBottom w:val="0"/>
      <w:divBdr>
        <w:top w:val="none" w:sz="0" w:space="0" w:color="auto"/>
        <w:left w:val="none" w:sz="0" w:space="0" w:color="auto"/>
        <w:bottom w:val="none" w:sz="0" w:space="0" w:color="auto"/>
        <w:right w:val="none" w:sz="0" w:space="0" w:color="auto"/>
      </w:divBdr>
    </w:div>
    <w:div w:id="1040208270">
      <w:bodyDiv w:val="1"/>
      <w:marLeft w:val="0"/>
      <w:marRight w:val="0"/>
      <w:marTop w:val="0"/>
      <w:marBottom w:val="0"/>
      <w:divBdr>
        <w:top w:val="none" w:sz="0" w:space="0" w:color="auto"/>
        <w:left w:val="none" w:sz="0" w:space="0" w:color="auto"/>
        <w:bottom w:val="none" w:sz="0" w:space="0" w:color="auto"/>
        <w:right w:val="none" w:sz="0" w:space="0" w:color="auto"/>
      </w:divBdr>
    </w:div>
    <w:div w:id="1043559156">
      <w:bodyDiv w:val="1"/>
      <w:marLeft w:val="0"/>
      <w:marRight w:val="0"/>
      <w:marTop w:val="0"/>
      <w:marBottom w:val="0"/>
      <w:divBdr>
        <w:top w:val="none" w:sz="0" w:space="0" w:color="auto"/>
        <w:left w:val="none" w:sz="0" w:space="0" w:color="auto"/>
        <w:bottom w:val="none" w:sz="0" w:space="0" w:color="auto"/>
        <w:right w:val="none" w:sz="0" w:space="0" w:color="auto"/>
      </w:divBdr>
    </w:div>
    <w:div w:id="1046834390">
      <w:bodyDiv w:val="1"/>
      <w:marLeft w:val="0"/>
      <w:marRight w:val="0"/>
      <w:marTop w:val="0"/>
      <w:marBottom w:val="0"/>
      <w:divBdr>
        <w:top w:val="none" w:sz="0" w:space="0" w:color="auto"/>
        <w:left w:val="none" w:sz="0" w:space="0" w:color="auto"/>
        <w:bottom w:val="none" w:sz="0" w:space="0" w:color="auto"/>
        <w:right w:val="none" w:sz="0" w:space="0" w:color="auto"/>
      </w:divBdr>
    </w:div>
    <w:div w:id="1054693913">
      <w:bodyDiv w:val="1"/>
      <w:marLeft w:val="0"/>
      <w:marRight w:val="0"/>
      <w:marTop w:val="0"/>
      <w:marBottom w:val="0"/>
      <w:divBdr>
        <w:top w:val="none" w:sz="0" w:space="0" w:color="auto"/>
        <w:left w:val="none" w:sz="0" w:space="0" w:color="auto"/>
        <w:bottom w:val="none" w:sz="0" w:space="0" w:color="auto"/>
        <w:right w:val="none" w:sz="0" w:space="0" w:color="auto"/>
      </w:divBdr>
    </w:div>
    <w:div w:id="1061901313">
      <w:bodyDiv w:val="1"/>
      <w:marLeft w:val="0"/>
      <w:marRight w:val="0"/>
      <w:marTop w:val="0"/>
      <w:marBottom w:val="0"/>
      <w:divBdr>
        <w:top w:val="none" w:sz="0" w:space="0" w:color="auto"/>
        <w:left w:val="none" w:sz="0" w:space="0" w:color="auto"/>
        <w:bottom w:val="none" w:sz="0" w:space="0" w:color="auto"/>
        <w:right w:val="none" w:sz="0" w:space="0" w:color="auto"/>
      </w:divBdr>
    </w:div>
    <w:div w:id="1087458854">
      <w:bodyDiv w:val="1"/>
      <w:marLeft w:val="0"/>
      <w:marRight w:val="0"/>
      <w:marTop w:val="0"/>
      <w:marBottom w:val="0"/>
      <w:divBdr>
        <w:top w:val="none" w:sz="0" w:space="0" w:color="auto"/>
        <w:left w:val="none" w:sz="0" w:space="0" w:color="auto"/>
        <w:bottom w:val="none" w:sz="0" w:space="0" w:color="auto"/>
        <w:right w:val="none" w:sz="0" w:space="0" w:color="auto"/>
      </w:divBdr>
    </w:div>
    <w:div w:id="1136919450">
      <w:bodyDiv w:val="1"/>
      <w:marLeft w:val="0"/>
      <w:marRight w:val="0"/>
      <w:marTop w:val="0"/>
      <w:marBottom w:val="0"/>
      <w:divBdr>
        <w:top w:val="none" w:sz="0" w:space="0" w:color="auto"/>
        <w:left w:val="none" w:sz="0" w:space="0" w:color="auto"/>
        <w:bottom w:val="none" w:sz="0" w:space="0" w:color="auto"/>
        <w:right w:val="none" w:sz="0" w:space="0" w:color="auto"/>
      </w:divBdr>
    </w:div>
    <w:div w:id="1179612678">
      <w:bodyDiv w:val="1"/>
      <w:marLeft w:val="0"/>
      <w:marRight w:val="0"/>
      <w:marTop w:val="0"/>
      <w:marBottom w:val="0"/>
      <w:divBdr>
        <w:top w:val="none" w:sz="0" w:space="0" w:color="auto"/>
        <w:left w:val="none" w:sz="0" w:space="0" w:color="auto"/>
        <w:bottom w:val="none" w:sz="0" w:space="0" w:color="auto"/>
        <w:right w:val="none" w:sz="0" w:space="0" w:color="auto"/>
      </w:divBdr>
    </w:div>
    <w:div w:id="1232890089">
      <w:bodyDiv w:val="1"/>
      <w:marLeft w:val="0"/>
      <w:marRight w:val="0"/>
      <w:marTop w:val="0"/>
      <w:marBottom w:val="0"/>
      <w:divBdr>
        <w:top w:val="none" w:sz="0" w:space="0" w:color="auto"/>
        <w:left w:val="none" w:sz="0" w:space="0" w:color="auto"/>
        <w:bottom w:val="none" w:sz="0" w:space="0" w:color="auto"/>
        <w:right w:val="none" w:sz="0" w:space="0" w:color="auto"/>
      </w:divBdr>
    </w:div>
    <w:div w:id="1272128542">
      <w:bodyDiv w:val="1"/>
      <w:marLeft w:val="0"/>
      <w:marRight w:val="0"/>
      <w:marTop w:val="0"/>
      <w:marBottom w:val="0"/>
      <w:divBdr>
        <w:top w:val="none" w:sz="0" w:space="0" w:color="auto"/>
        <w:left w:val="none" w:sz="0" w:space="0" w:color="auto"/>
        <w:bottom w:val="none" w:sz="0" w:space="0" w:color="auto"/>
        <w:right w:val="none" w:sz="0" w:space="0" w:color="auto"/>
      </w:divBdr>
    </w:div>
    <w:div w:id="1305282573">
      <w:bodyDiv w:val="1"/>
      <w:marLeft w:val="0"/>
      <w:marRight w:val="0"/>
      <w:marTop w:val="0"/>
      <w:marBottom w:val="0"/>
      <w:divBdr>
        <w:top w:val="none" w:sz="0" w:space="0" w:color="auto"/>
        <w:left w:val="none" w:sz="0" w:space="0" w:color="auto"/>
        <w:bottom w:val="none" w:sz="0" w:space="0" w:color="auto"/>
        <w:right w:val="none" w:sz="0" w:space="0" w:color="auto"/>
      </w:divBdr>
    </w:div>
    <w:div w:id="1320964519">
      <w:bodyDiv w:val="1"/>
      <w:marLeft w:val="0"/>
      <w:marRight w:val="0"/>
      <w:marTop w:val="0"/>
      <w:marBottom w:val="0"/>
      <w:divBdr>
        <w:top w:val="none" w:sz="0" w:space="0" w:color="auto"/>
        <w:left w:val="none" w:sz="0" w:space="0" w:color="auto"/>
        <w:bottom w:val="none" w:sz="0" w:space="0" w:color="auto"/>
        <w:right w:val="none" w:sz="0" w:space="0" w:color="auto"/>
      </w:divBdr>
    </w:div>
    <w:div w:id="1327708866">
      <w:bodyDiv w:val="1"/>
      <w:marLeft w:val="0"/>
      <w:marRight w:val="0"/>
      <w:marTop w:val="0"/>
      <w:marBottom w:val="0"/>
      <w:divBdr>
        <w:top w:val="none" w:sz="0" w:space="0" w:color="auto"/>
        <w:left w:val="none" w:sz="0" w:space="0" w:color="auto"/>
        <w:bottom w:val="none" w:sz="0" w:space="0" w:color="auto"/>
        <w:right w:val="none" w:sz="0" w:space="0" w:color="auto"/>
      </w:divBdr>
    </w:div>
    <w:div w:id="1338265577">
      <w:bodyDiv w:val="1"/>
      <w:marLeft w:val="0"/>
      <w:marRight w:val="0"/>
      <w:marTop w:val="0"/>
      <w:marBottom w:val="0"/>
      <w:divBdr>
        <w:top w:val="none" w:sz="0" w:space="0" w:color="auto"/>
        <w:left w:val="none" w:sz="0" w:space="0" w:color="auto"/>
        <w:bottom w:val="none" w:sz="0" w:space="0" w:color="auto"/>
        <w:right w:val="none" w:sz="0" w:space="0" w:color="auto"/>
      </w:divBdr>
    </w:div>
    <w:div w:id="1344623472">
      <w:bodyDiv w:val="1"/>
      <w:marLeft w:val="0"/>
      <w:marRight w:val="0"/>
      <w:marTop w:val="0"/>
      <w:marBottom w:val="0"/>
      <w:divBdr>
        <w:top w:val="none" w:sz="0" w:space="0" w:color="auto"/>
        <w:left w:val="none" w:sz="0" w:space="0" w:color="auto"/>
        <w:bottom w:val="none" w:sz="0" w:space="0" w:color="auto"/>
        <w:right w:val="none" w:sz="0" w:space="0" w:color="auto"/>
      </w:divBdr>
    </w:div>
    <w:div w:id="1357345861">
      <w:bodyDiv w:val="1"/>
      <w:marLeft w:val="0"/>
      <w:marRight w:val="0"/>
      <w:marTop w:val="0"/>
      <w:marBottom w:val="0"/>
      <w:divBdr>
        <w:top w:val="none" w:sz="0" w:space="0" w:color="auto"/>
        <w:left w:val="none" w:sz="0" w:space="0" w:color="auto"/>
        <w:bottom w:val="none" w:sz="0" w:space="0" w:color="auto"/>
        <w:right w:val="none" w:sz="0" w:space="0" w:color="auto"/>
      </w:divBdr>
    </w:div>
    <w:div w:id="1362130167">
      <w:bodyDiv w:val="1"/>
      <w:marLeft w:val="0"/>
      <w:marRight w:val="0"/>
      <w:marTop w:val="0"/>
      <w:marBottom w:val="0"/>
      <w:divBdr>
        <w:top w:val="none" w:sz="0" w:space="0" w:color="auto"/>
        <w:left w:val="none" w:sz="0" w:space="0" w:color="auto"/>
        <w:bottom w:val="none" w:sz="0" w:space="0" w:color="auto"/>
        <w:right w:val="none" w:sz="0" w:space="0" w:color="auto"/>
      </w:divBdr>
    </w:div>
    <w:div w:id="137685659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9666957">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1075978">
      <w:bodyDiv w:val="1"/>
      <w:marLeft w:val="0"/>
      <w:marRight w:val="0"/>
      <w:marTop w:val="0"/>
      <w:marBottom w:val="0"/>
      <w:divBdr>
        <w:top w:val="none" w:sz="0" w:space="0" w:color="auto"/>
        <w:left w:val="none" w:sz="0" w:space="0" w:color="auto"/>
        <w:bottom w:val="none" w:sz="0" w:space="0" w:color="auto"/>
        <w:right w:val="none" w:sz="0" w:space="0" w:color="auto"/>
      </w:divBdr>
    </w:div>
    <w:div w:id="1468203810">
      <w:bodyDiv w:val="1"/>
      <w:marLeft w:val="0"/>
      <w:marRight w:val="0"/>
      <w:marTop w:val="0"/>
      <w:marBottom w:val="0"/>
      <w:divBdr>
        <w:top w:val="none" w:sz="0" w:space="0" w:color="auto"/>
        <w:left w:val="none" w:sz="0" w:space="0" w:color="auto"/>
        <w:bottom w:val="none" w:sz="0" w:space="0" w:color="auto"/>
        <w:right w:val="none" w:sz="0" w:space="0" w:color="auto"/>
      </w:divBdr>
    </w:div>
    <w:div w:id="1501459335">
      <w:bodyDiv w:val="1"/>
      <w:marLeft w:val="0"/>
      <w:marRight w:val="0"/>
      <w:marTop w:val="0"/>
      <w:marBottom w:val="0"/>
      <w:divBdr>
        <w:top w:val="none" w:sz="0" w:space="0" w:color="auto"/>
        <w:left w:val="none" w:sz="0" w:space="0" w:color="auto"/>
        <w:bottom w:val="none" w:sz="0" w:space="0" w:color="auto"/>
        <w:right w:val="none" w:sz="0" w:space="0" w:color="auto"/>
      </w:divBdr>
    </w:div>
    <w:div w:id="1510484452">
      <w:bodyDiv w:val="1"/>
      <w:marLeft w:val="0"/>
      <w:marRight w:val="0"/>
      <w:marTop w:val="0"/>
      <w:marBottom w:val="0"/>
      <w:divBdr>
        <w:top w:val="none" w:sz="0" w:space="0" w:color="auto"/>
        <w:left w:val="none" w:sz="0" w:space="0" w:color="auto"/>
        <w:bottom w:val="none" w:sz="0" w:space="0" w:color="auto"/>
        <w:right w:val="none" w:sz="0" w:space="0" w:color="auto"/>
      </w:divBdr>
    </w:div>
    <w:div w:id="1523399039">
      <w:bodyDiv w:val="1"/>
      <w:marLeft w:val="0"/>
      <w:marRight w:val="0"/>
      <w:marTop w:val="0"/>
      <w:marBottom w:val="0"/>
      <w:divBdr>
        <w:top w:val="none" w:sz="0" w:space="0" w:color="auto"/>
        <w:left w:val="none" w:sz="0" w:space="0" w:color="auto"/>
        <w:bottom w:val="none" w:sz="0" w:space="0" w:color="auto"/>
        <w:right w:val="none" w:sz="0" w:space="0" w:color="auto"/>
      </w:divBdr>
    </w:div>
    <w:div w:id="1530870357">
      <w:bodyDiv w:val="1"/>
      <w:marLeft w:val="0"/>
      <w:marRight w:val="0"/>
      <w:marTop w:val="0"/>
      <w:marBottom w:val="0"/>
      <w:divBdr>
        <w:top w:val="none" w:sz="0" w:space="0" w:color="auto"/>
        <w:left w:val="none" w:sz="0" w:space="0" w:color="auto"/>
        <w:bottom w:val="none" w:sz="0" w:space="0" w:color="auto"/>
        <w:right w:val="none" w:sz="0" w:space="0" w:color="auto"/>
      </w:divBdr>
    </w:div>
    <w:div w:id="1569653126">
      <w:bodyDiv w:val="1"/>
      <w:marLeft w:val="0"/>
      <w:marRight w:val="0"/>
      <w:marTop w:val="0"/>
      <w:marBottom w:val="0"/>
      <w:divBdr>
        <w:top w:val="none" w:sz="0" w:space="0" w:color="auto"/>
        <w:left w:val="none" w:sz="0" w:space="0" w:color="auto"/>
        <w:bottom w:val="none" w:sz="0" w:space="0" w:color="auto"/>
        <w:right w:val="none" w:sz="0" w:space="0" w:color="auto"/>
      </w:divBdr>
    </w:div>
    <w:div w:id="1577200135">
      <w:bodyDiv w:val="1"/>
      <w:marLeft w:val="0"/>
      <w:marRight w:val="0"/>
      <w:marTop w:val="0"/>
      <w:marBottom w:val="0"/>
      <w:divBdr>
        <w:top w:val="none" w:sz="0" w:space="0" w:color="auto"/>
        <w:left w:val="none" w:sz="0" w:space="0" w:color="auto"/>
        <w:bottom w:val="none" w:sz="0" w:space="0" w:color="auto"/>
        <w:right w:val="none" w:sz="0" w:space="0" w:color="auto"/>
      </w:divBdr>
    </w:div>
    <w:div w:id="1587182960">
      <w:bodyDiv w:val="1"/>
      <w:marLeft w:val="0"/>
      <w:marRight w:val="0"/>
      <w:marTop w:val="0"/>
      <w:marBottom w:val="0"/>
      <w:divBdr>
        <w:top w:val="none" w:sz="0" w:space="0" w:color="auto"/>
        <w:left w:val="none" w:sz="0" w:space="0" w:color="auto"/>
        <w:bottom w:val="none" w:sz="0" w:space="0" w:color="auto"/>
        <w:right w:val="none" w:sz="0" w:space="0" w:color="auto"/>
      </w:divBdr>
    </w:div>
    <w:div w:id="1593932617">
      <w:bodyDiv w:val="1"/>
      <w:marLeft w:val="0"/>
      <w:marRight w:val="0"/>
      <w:marTop w:val="0"/>
      <w:marBottom w:val="0"/>
      <w:divBdr>
        <w:top w:val="none" w:sz="0" w:space="0" w:color="auto"/>
        <w:left w:val="none" w:sz="0" w:space="0" w:color="auto"/>
        <w:bottom w:val="none" w:sz="0" w:space="0" w:color="auto"/>
        <w:right w:val="none" w:sz="0" w:space="0" w:color="auto"/>
      </w:divBdr>
    </w:div>
    <w:div w:id="1609045558">
      <w:bodyDiv w:val="1"/>
      <w:marLeft w:val="0"/>
      <w:marRight w:val="0"/>
      <w:marTop w:val="0"/>
      <w:marBottom w:val="0"/>
      <w:divBdr>
        <w:top w:val="none" w:sz="0" w:space="0" w:color="auto"/>
        <w:left w:val="none" w:sz="0" w:space="0" w:color="auto"/>
        <w:bottom w:val="none" w:sz="0" w:space="0" w:color="auto"/>
        <w:right w:val="none" w:sz="0" w:space="0" w:color="auto"/>
      </w:divBdr>
    </w:div>
    <w:div w:id="1613198470">
      <w:bodyDiv w:val="1"/>
      <w:marLeft w:val="0"/>
      <w:marRight w:val="0"/>
      <w:marTop w:val="0"/>
      <w:marBottom w:val="0"/>
      <w:divBdr>
        <w:top w:val="none" w:sz="0" w:space="0" w:color="auto"/>
        <w:left w:val="none" w:sz="0" w:space="0" w:color="auto"/>
        <w:bottom w:val="none" w:sz="0" w:space="0" w:color="auto"/>
        <w:right w:val="none" w:sz="0" w:space="0" w:color="auto"/>
      </w:divBdr>
    </w:div>
    <w:div w:id="1624115560">
      <w:bodyDiv w:val="1"/>
      <w:marLeft w:val="0"/>
      <w:marRight w:val="0"/>
      <w:marTop w:val="0"/>
      <w:marBottom w:val="0"/>
      <w:divBdr>
        <w:top w:val="none" w:sz="0" w:space="0" w:color="auto"/>
        <w:left w:val="none" w:sz="0" w:space="0" w:color="auto"/>
        <w:bottom w:val="none" w:sz="0" w:space="0" w:color="auto"/>
        <w:right w:val="none" w:sz="0" w:space="0" w:color="auto"/>
      </w:divBdr>
    </w:div>
    <w:div w:id="1679693666">
      <w:bodyDiv w:val="1"/>
      <w:marLeft w:val="0"/>
      <w:marRight w:val="0"/>
      <w:marTop w:val="0"/>
      <w:marBottom w:val="0"/>
      <w:divBdr>
        <w:top w:val="none" w:sz="0" w:space="0" w:color="auto"/>
        <w:left w:val="none" w:sz="0" w:space="0" w:color="auto"/>
        <w:bottom w:val="none" w:sz="0" w:space="0" w:color="auto"/>
        <w:right w:val="none" w:sz="0" w:space="0" w:color="auto"/>
      </w:divBdr>
    </w:div>
    <w:div w:id="174614450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72237472">
      <w:bodyDiv w:val="1"/>
      <w:marLeft w:val="0"/>
      <w:marRight w:val="0"/>
      <w:marTop w:val="0"/>
      <w:marBottom w:val="0"/>
      <w:divBdr>
        <w:top w:val="none" w:sz="0" w:space="0" w:color="auto"/>
        <w:left w:val="none" w:sz="0" w:space="0" w:color="auto"/>
        <w:bottom w:val="none" w:sz="0" w:space="0" w:color="auto"/>
        <w:right w:val="none" w:sz="0" w:space="0" w:color="auto"/>
      </w:divBdr>
    </w:div>
    <w:div w:id="1775175319">
      <w:bodyDiv w:val="1"/>
      <w:marLeft w:val="0"/>
      <w:marRight w:val="0"/>
      <w:marTop w:val="0"/>
      <w:marBottom w:val="0"/>
      <w:divBdr>
        <w:top w:val="none" w:sz="0" w:space="0" w:color="auto"/>
        <w:left w:val="none" w:sz="0" w:space="0" w:color="auto"/>
        <w:bottom w:val="none" w:sz="0" w:space="0" w:color="auto"/>
        <w:right w:val="none" w:sz="0" w:space="0" w:color="auto"/>
      </w:divBdr>
    </w:div>
    <w:div w:id="1789078633">
      <w:bodyDiv w:val="1"/>
      <w:marLeft w:val="0"/>
      <w:marRight w:val="0"/>
      <w:marTop w:val="0"/>
      <w:marBottom w:val="0"/>
      <w:divBdr>
        <w:top w:val="none" w:sz="0" w:space="0" w:color="auto"/>
        <w:left w:val="none" w:sz="0" w:space="0" w:color="auto"/>
        <w:bottom w:val="none" w:sz="0" w:space="0" w:color="auto"/>
        <w:right w:val="none" w:sz="0" w:space="0" w:color="auto"/>
      </w:divBdr>
    </w:div>
    <w:div w:id="1802992189">
      <w:bodyDiv w:val="1"/>
      <w:marLeft w:val="0"/>
      <w:marRight w:val="0"/>
      <w:marTop w:val="0"/>
      <w:marBottom w:val="0"/>
      <w:divBdr>
        <w:top w:val="none" w:sz="0" w:space="0" w:color="auto"/>
        <w:left w:val="none" w:sz="0" w:space="0" w:color="auto"/>
        <w:bottom w:val="none" w:sz="0" w:space="0" w:color="auto"/>
        <w:right w:val="none" w:sz="0" w:space="0" w:color="auto"/>
      </w:divBdr>
    </w:div>
    <w:div w:id="1818911555">
      <w:bodyDiv w:val="1"/>
      <w:marLeft w:val="0"/>
      <w:marRight w:val="0"/>
      <w:marTop w:val="0"/>
      <w:marBottom w:val="0"/>
      <w:divBdr>
        <w:top w:val="none" w:sz="0" w:space="0" w:color="auto"/>
        <w:left w:val="none" w:sz="0" w:space="0" w:color="auto"/>
        <w:bottom w:val="none" w:sz="0" w:space="0" w:color="auto"/>
        <w:right w:val="none" w:sz="0" w:space="0" w:color="auto"/>
      </w:divBdr>
    </w:div>
    <w:div w:id="1827745221">
      <w:bodyDiv w:val="1"/>
      <w:marLeft w:val="0"/>
      <w:marRight w:val="0"/>
      <w:marTop w:val="0"/>
      <w:marBottom w:val="0"/>
      <w:divBdr>
        <w:top w:val="none" w:sz="0" w:space="0" w:color="auto"/>
        <w:left w:val="none" w:sz="0" w:space="0" w:color="auto"/>
        <w:bottom w:val="none" w:sz="0" w:space="0" w:color="auto"/>
        <w:right w:val="none" w:sz="0" w:space="0" w:color="auto"/>
      </w:divBdr>
    </w:div>
    <w:div w:id="1851720567">
      <w:bodyDiv w:val="1"/>
      <w:marLeft w:val="0"/>
      <w:marRight w:val="0"/>
      <w:marTop w:val="0"/>
      <w:marBottom w:val="0"/>
      <w:divBdr>
        <w:top w:val="none" w:sz="0" w:space="0" w:color="auto"/>
        <w:left w:val="none" w:sz="0" w:space="0" w:color="auto"/>
        <w:bottom w:val="none" w:sz="0" w:space="0" w:color="auto"/>
        <w:right w:val="none" w:sz="0" w:space="0" w:color="auto"/>
      </w:divBdr>
    </w:div>
    <w:div w:id="1901935975">
      <w:bodyDiv w:val="1"/>
      <w:marLeft w:val="0"/>
      <w:marRight w:val="0"/>
      <w:marTop w:val="0"/>
      <w:marBottom w:val="0"/>
      <w:divBdr>
        <w:top w:val="none" w:sz="0" w:space="0" w:color="auto"/>
        <w:left w:val="none" w:sz="0" w:space="0" w:color="auto"/>
        <w:bottom w:val="none" w:sz="0" w:space="0" w:color="auto"/>
        <w:right w:val="none" w:sz="0" w:space="0" w:color="auto"/>
      </w:divBdr>
    </w:div>
    <w:div w:id="192244559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7634228">
      <w:bodyDiv w:val="1"/>
      <w:marLeft w:val="0"/>
      <w:marRight w:val="0"/>
      <w:marTop w:val="0"/>
      <w:marBottom w:val="0"/>
      <w:divBdr>
        <w:top w:val="none" w:sz="0" w:space="0" w:color="auto"/>
        <w:left w:val="none" w:sz="0" w:space="0" w:color="auto"/>
        <w:bottom w:val="none" w:sz="0" w:space="0" w:color="auto"/>
        <w:right w:val="none" w:sz="0" w:space="0" w:color="auto"/>
      </w:divBdr>
    </w:div>
    <w:div w:id="1959022444">
      <w:bodyDiv w:val="1"/>
      <w:marLeft w:val="0"/>
      <w:marRight w:val="0"/>
      <w:marTop w:val="0"/>
      <w:marBottom w:val="0"/>
      <w:divBdr>
        <w:top w:val="none" w:sz="0" w:space="0" w:color="auto"/>
        <w:left w:val="none" w:sz="0" w:space="0" w:color="auto"/>
        <w:bottom w:val="none" w:sz="0" w:space="0" w:color="auto"/>
        <w:right w:val="none" w:sz="0" w:space="0" w:color="auto"/>
      </w:divBdr>
    </w:div>
    <w:div w:id="1973824158">
      <w:bodyDiv w:val="1"/>
      <w:marLeft w:val="0"/>
      <w:marRight w:val="0"/>
      <w:marTop w:val="0"/>
      <w:marBottom w:val="0"/>
      <w:divBdr>
        <w:top w:val="none" w:sz="0" w:space="0" w:color="auto"/>
        <w:left w:val="none" w:sz="0" w:space="0" w:color="auto"/>
        <w:bottom w:val="none" w:sz="0" w:space="0" w:color="auto"/>
        <w:right w:val="none" w:sz="0" w:space="0" w:color="auto"/>
      </w:divBdr>
    </w:div>
    <w:div w:id="1993870340">
      <w:bodyDiv w:val="1"/>
      <w:marLeft w:val="0"/>
      <w:marRight w:val="0"/>
      <w:marTop w:val="0"/>
      <w:marBottom w:val="0"/>
      <w:divBdr>
        <w:top w:val="none" w:sz="0" w:space="0" w:color="auto"/>
        <w:left w:val="none" w:sz="0" w:space="0" w:color="auto"/>
        <w:bottom w:val="none" w:sz="0" w:space="0" w:color="auto"/>
        <w:right w:val="none" w:sz="0" w:space="0" w:color="auto"/>
      </w:divBdr>
    </w:div>
    <w:div w:id="2007631033">
      <w:bodyDiv w:val="1"/>
      <w:marLeft w:val="0"/>
      <w:marRight w:val="0"/>
      <w:marTop w:val="0"/>
      <w:marBottom w:val="0"/>
      <w:divBdr>
        <w:top w:val="none" w:sz="0" w:space="0" w:color="auto"/>
        <w:left w:val="none" w:sz="0" w:space="0" w:color="auto"/>
        <w:bottom w:val="none" w:sz="0" w:space="0" w:color="auto"/>
        <w:right w:val="none" w:sz="0" w:space="0" w:color="auto"/>
      </w:divBdr>
    </w:div>
    <w:div w:id="2008046999">
      <w:bodyDiv w:val="1"/>
      <w:marLeft w:val="0"/>
      <w:marRight w:val="0"/>
      <w:marTop w:val="0"/>
      <w:marBottom w:val="0"/>
      <w:divBdr>
        <w:top w:val="none" w:sz="0" w:space="0" w:color="auto"/>
        <w:left w:val="none" w:sz="0" w:space="0" w:color="auto"/>
        <w:bottom w:val="none" w:sz="0" w:space="0" w:color="auto"/>
        <w:right w:val="none" w:sz="0" w:space="0" w:color="auto"/>
      </w:divBdr>
    </w:div>
    <w:div w:id="2061828254">
      <w:bodyDiv w:val="1"/>
      <w:marLeft w:val="0"/>
      <w:marRight w:val="0"/>
      <w:marTop w:val="0"/>
      <w:marBottom w:val="0"/>
      <w:divBdr>
        <w:top w:val="none" w:sz="0" w:space="0" w:color="auto"/>
        <w:left w:val="none" w:sz="0" w:space="0" w:color="auto"/>
        <w:bottom w:val="none" w:sz="0" w:space="0" w:color="auto"/>
        <w:right w:val="none" w:sz="0" w:space="0" w:color="auto"/>
      </w:divBdr>
    </w:div>
    <w:div w:id="2103408645">
      <w:bodyDiv w:val="1"/>
      <w:marLeft w:val="0"/>
      <w:marRight w:val="0"/>
      <w:marTop w:val="0"/>
      <w:marBottom w:val="0"/>
      <w:divBdr>
        <w:top w:val="none" w:sz="0" w:space="0" w:color="auto"/>
        <w:left w:val="none" w:sz="0" w:space="0" w:color="auto"/>
        <w:bottom w:val="none" w:sz="0" w:space="0" w:color="auto"/>
        <w:right w:val="none" w:sz="0" w:space="0" w:color="auto"/>
      </w:divBdr>
    </w:div>
    <w:div w:id="2131512578">
      <w:bodyDiv w:val="1"/>
      <w:marLeft w:val="0"/>
      <w:marRight w:val="0"/>
      <w:marTop w:val="0"/>
      <w:marBottom w:val="0"/>
      <w:divBdr>
        <w:top w:val="none" w:sz="0" w:space="0" w:color="auto"/>
        <w:left w:val="none" w:sz="0" w:space="0" w:color="auto"/>
        <w:bottom w:val="none" w:sz="0" w:space="0" w:color="auto"/>
        <w:right w:val="none" w:sz="0" w:space="0" w:color="auto"/>
      </w:divBdr>
    </w:div>
    <w:div w:id="2139109062">
      <w:bodyDiv w:val="1"/>
      <w:marLeft w:val="0"/>
      <w:marRight w:val="0"/>
      <w:marTop w:val="0"/>
      <w:marBottom w:val="0"/>
      <w:divBdr>
        <w:top w:val="none" w:sz="0" w:space="0" w:color="auto"/>
        <w:left w:val="none" w:sz="0" w:space="0" w:color="auto"/>
        <w:bottom w:val="none" w:sz="0" w:space="0" w:color="auto"/>
        <w:right w:val="none" w:sz="0" w:space="0" w:color="auto"/>
      </w:divBdr>
    </w:div>
    <w:div w:id="2146850134">
      <w:bodyDiv w:val="1"/>
      <w:marLeft w:val="0"/>
      <w:marRight w:val="0"/>
      <w:marTop w:val="0"/>
      <w:marBottom w:val="0"/>
      <w:divBdr>
        <w:top w:val="none" w:sz="0" w:space="0" w:color="auto"/>
        <w:left w:val="none" w:sz="0" w:space="0" w:color="auto"/>
        <w:bottom w:val="none" w:sz="0" w:space="0" w:color="auto"/>
        <w:right w:val="none" w:sz="0" w:space="0" w:color="auto"/>
      </w:divBdr>
    </w:div>
    <w:div w:id="214731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bac.vic.gov.au/docs/default-source/guidelines/guidelines-for-handling-public-interest-disclosures.pdf?sfvrsn=eb8b6875_14" TargetMode="External"/><Relationship Id="rId18" Type="http://schemas.openxmlformats.org/officeDocument/2006/relationships/hyperlink" Target="https://vpsc.vic.gov.au/html-resources/code-of-conduct-for-directors-of-public-entiti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psc.vic.gov.au/ethics-behaviours-culture/promoting-integrity/vps-values-and-employment-principles/" TargetMode="External"/><Relationship Id="rId2" Type="http://schemas.openxmlformats.org/officeDocument/2006/relationships/customXml" Target="../customXml/item2.xml"/><Relationship Id="rId16" Type="http://schemas.openxmlformats.org/officeDocument/2006/relationships/hyperlink" Target="https://www.ibac.vic.gov.au/reporting-corruption/report/complaints-for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bac.vic.gov.au/docs/default-source/education-resources/information-sheet-key-changes-for-pid-integrity-and-accountability-legislation-amendment.pdf?sfvrsn=9939ec2_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rue.elletson@vdwc.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bac.vic.gov.au/docs/default-source/guidelines/guidelines-for-public-interest-disclosure-welfare-management.pdf?sfvrsn=288e6875_16"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08CCD0EB87634E83333E754F526B9E" ma:contentTypeVersion="10" ma:contentTypeDescription="Create a new document." ma:contentTypeScope="" ma:versionID="9c02142bba4b3d7048f57c54989832d9">
  <xsd:schema xmlns:xsd="http://www.w3.org/2001/XMLSchema" xmlns:xs="http://www.w3.org/2001/XMLSchema" xmlns:p="http://schemas.microsoft.com/office/2006/metadata/properties" xmlns:ns2="92e17f3e-12e5-4692-b930-290c23793bfa" xmlns:ns3="b8ac6c3c-bf01-48ca-9182-c1ef7a70d069" targetNamespace="http://schemas.microsoft.com/office/2006/metadata/properties" ma:root="true" ma:fieldsID="06d2f0aa35871d7bea48bbaba1fbb7dd" ns2:_="" ns3:_="">
    <xsd:import namespace="92e17f3e-12e5-4692-b930-290c23793bfa"/>
    <xsd:import namespace="b8ac6c3c-bf01-48ca-9182-c1ef7a70d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17f3e-12e5-4692-b930-290c23793b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c6c3c-bf01-48ca-9182-c1ef7a70d0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8ac6c3c-bf01-48ca-9182-c1ef7a70d069">
      <UserInfo>
        <DisplayName>Max Steed</DisplayName>
        <AccountId>10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7F2D7D-D105-450B-AB1A-253540F1E4C5}">
  <ds:schemaRefs>
    <ds:schemaRef ds:uri="http://schemas.openxmlformats.org/officeDocument/2006/bibliography"/>
  </ds:schemaRefs>
</ds:datastoreItem>
</file>

<file path=customXml/itemProps2.xml><?xml version="1.0" encoding="utf-8"?>
<ds:datastoreItem xmlns:ds="http://schemas.openxmlformats.org/officeDocument/2006/customXml" ds:itemID="{C78ABCBF-4BEC-4F40-949C-6090EC8B2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17f3e-12e5-4692-b930-290c23793bfa"/>
    <ds:schemaRef ds:uri="b8ac6c3c-bf01-48ca-9182-c1ef7a70d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37C38-AD23-4D4A-AD9F-7DD5D48BBB08}">
  <ds:schemaRefs>
    <ds:schemaRef ds:uri="http://schemas.microsoft.com/office/2006/metadata/properties"/>
    <ds:schemaRef ds:uri="http://schemas.microsoft.com/office/infopath/2007/PartnerControls"/>
    <ds:schemaRef ds:uri="f67c1d74-f3c7-4910-ab1e-947538f36b94"/>
    <ds:schemaRef ds:uri="b8ac6c3c-bf01-48ca-9182-c1ef7a70d069"/>
  </ds:schemaRefs>
</ds:datastoreItem>
</file>

<file path=customXml/itemProps4.xml><?xml version="1.0" encoding="utf-8"?>
<ds:datastoreItem xmlns:ds="http://schemas.openxmlformats.org/officeDocument/2006/customXml" ds:itemID="{90F374E6-2635-4C64-8C92-0A0375E47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4881</Words>
  <Characters>27828</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Victorian Disability Worker Commission</Company>
  <LinksUpToDate>false</LinksUpToDate>
  <CharactersWithSpaces>32644</CharactersWithSpaces>
  <SharedDoc>false</SharedDoc>
  <HyperlinkBase/>
  <HLinks>
    <vt:vector size="42" baseType="variant">
      <vt:variant>
        <vt:i4>65645</vt:i4>
      </vt:variant>
      <vt:variant>
        <vt:i4>21</vt:i4>
      </vt:variant>
      <vt:variant>
        <vt:i4>0</vt:i4>
      </vt:variant>
      <vt:variant>
        <vt:i4>5</vt:i4>
      </vt:variant>
      <vt:variant>
        <vt:lpwstr>mailto:prue.elletson@vdwc.vic.gov.au</vt:lpwstr>
      </vt:variant>
      <vt:variant>
        <vt:lpwstr/>
      </vt:variant>
      <vt:variant>
        <vt:i4>1966151</vt:i4>
      </vt:variant>
      <vt:variant>
        <vt:i4>18</vt:i4>
      </vt:variant>
      <vt:variant>
        <vt:i4>0</vt:i4>
      </vt:variant>
      <vt:variant>
        <vt:i4>5</vt:i4>
      </vt:variant>
      <vt:variant>
        <vt:lpwstr>https://vpsc.vic.gov.au/html-resources/code-of-conduct-for-directors-of-public-entities/</vt:lpwstr>
      </vt:variant>
      <vt:variant>
        <vt:lpwstr/>
      </vt:variant>
      <vt:variant>
        <vt:i4>3997737</vt:i4>
      </vt:variant>
      <vt:variant>
        <vt:i4>15</vt:i4>
      </vt:variant>
      <vt:variant>
        <vt:i4>0</vt:i4>
      </vt:variant>
      <vt:variant>
        <vt:i4>5</vt:i4>
      </vt:variant>
      <vt:variant>
        <vt:lpwstr>https://vpsc.vic.gov.au/ethics-behaviours-culture/promoting-integrity/vps-values-and-employment-principles/</vt:lpwstr>
      </vt:variant>
      <vt:variant>
        <vt:lpwstr/>
      </vt:variant>
      <vt:variant>
        <vt:i4>8126584</vt:i4>
      </vt:variant>
      <vt:variant>
        <vt:i4>12</vt:i4>
      </vt:variant>
      <vt:variant>
        <vt:i4>0</vt:i4>
      </vt:variant>
      <vt:variant>
        <vt:i4>5</vt:i4>
      </vt:variant>
      <vt:variant>
        <vt:lpwstr>https://www.ibac.vic.gov.au/reporting-corruption/report/complaints-form</vt:lpwstr>
      </vt:variant>
      <vt:variant>
        <vt:lpwstr/>
      </vt:variant>
      <vt:variant>
        <vt:i4>3670096</vt:i4>
      </vt:variant>
      <vt:variant>
        <vt:i4>6</vt:i4>
      </vt:variant>
      <vt:variant>
        <vt:i4>0</vt:i4>
      </vt:variant>
      <vt:variant>
        <vt:i4>5</vt:i4>
      </vt:variant>
      <vt:variant>
        <vt:lpwstr>https://www.ibac.vic.gov.au/docs/default-source/education-resources/information-sheet-key-changes-for-pid-integrity-and-accountability-legislation-amendment.pdf?sfvrsn=9939ec2_8</vt:lpwstr>
      </vt:variant>
      <vt:variant>
        <vt:lpwstr/>
      </vt:variant>
      <vt:variant>
        <vt:i4>1376307</vt:i4>
      </vt:variant>
      <vt:variant>
        <vt:i4>3</vt:i4>
      </vt:variant>
      <vt:variant>
        <vt:i4>0</vt:i4>
      </vt:variant>
      <vt:variant>
        <vt:i4>5</vt:i4>
      </vt:variant>
      <vt:variant>
        <vt:lpwstr>https://www.ibac.vic.gov.au/docs/default-source/guidelines/guidelines-for-public-interest-disclosure-welfare-management.pdf?sfvrsn=288e6875_16</vt:lpwstr>
      </vt:variant>
      <vt:variant>
        <vt:lpwstr/>
      </vt:variant>
      <vt:variant>
        <vt:i4>1114151</vt:i4>
      </vt:variant>
      <vt:variant>
        <vt:i4>0</vt:i4>
      </vt:variant>
      <vt:variant>
        <vt:i4>0</vt:i4>
      </vt:variant>
      <vt:variant>
        <vt:i4>5</vt:i4>
      </vt:variant>
      <vt:variant>
        <vt:lpwstr>https://www.ibac.vic.gov.au/docs/default-source/guidelines/guidelines-for-handling-public-interest-disclosures.pdf?sfvrsn=eb8b6875_14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Victorian Disability Worker Commission</dc:creator>
  <cp:keywords/>
  <cp:lastModifiedBy>Siobhan Bahn (VDWC)</cp:lastModifiedBy>
  <cp:revision>2</cp:revision>
  <cp:lastPrinted>2020-02-21T22:31:00Z</cp:lastPrinted>
  <dcterms:created xsi:type="dcterms:W3CDTF">2022-07-18T02:02:00Z</dcterms:created>
  <dcterms:modified xsi:type="dcterms:W3CDTF">2022-07-18T02:02:00Z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0x0101009C08CCD0EB87634E83333E754F526B9E</vt:lpwstr>
  </property>
  <property fmtid="{D5CDD505-2E9C-101B-9397-08002B2CF9AE}" pid="4" name="MSIP_Label_43e64453-338c-4f93-8a4d-0039a0a41f2a_Enabled">
    <vt:lpwstr>true</vt:lpwstr>
  </property>
  <property fmtid="{D5CDD505-2E9C-101B-9397-08002B2CF9AE}" pid="5" name="MSIP_Label_43e64453-338c-4f93-8a4d-0039a0a41f2a_SetDate">
    <vt:lpwstr>2022-07-18T02:02:33Z</vt:lpwstr>
  </property>
  <property fmtid="{D5CDD505-2E9C-101B-9397-08002B2CF9AE}" pid="6" name="MSIP_Label_43e64453-338c-4f93-8a4d-0039a0a41f2a_Method">
    <vt:lpwstr>Privileged</vt:lpwstr>
  </property>
  <property fmtid="{D5CDD505-2E9C-101B-9397-08002B2CF9AE}" pid="7" name="MSIP_Label_43e64453-338c-4f93-8a4d-0039a0a41f2a_Name">
    <vt:lpwstr>43e64453-338c-4f93-8a4d-0039a0a41f2a</vt:lpwstr>
  </property>
  <property fmtid="{D5CDD505-2E9C-101B-9397-08002B2CF9AE}" pid="8" name="MSIP_Label_43e64453-338c-4f93-8a4d-0039a0a41f2a_SiteId">
    <vt:lpwstr>c0e0601f-0fac-449c-9c88-a104c4eb9f28</vt:lpwstr>
  </property>
  <property fmtid="{D5CDD505-2E9C-101B-9397-08002B2CF9AE}" pid="9" name="MSIP_Label_43e64453-338c-4f93-8a4d-0039a0a41f2a_ActionId">
    <vt:lpwstr>813e2a50-6399-49c3-bb0b-9d2f282b53c2</vt:lpwstr>
  </property>
  <property fmtid="{D5CDD505-2E9C-101B-9397-08002B2CF9AE}" pid="10" name="MSIP_Label_43e64453-338c-4f93-8a4d-0039a0a41f2a_ContentBits">
    <vt:lpwstr>2</vt:lpwstr>
  </property>
</Properties>
</file>