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22C7" w14:textId="77777777" w:rsidR="0074696E" w:rsidRPr="004C6EEE" w:rsidRDefault="00B9264B" w:rsidP="00AD784C">
      <w:pPr>
        <w:pStyle w:val="Spacerparatopoffirstpage"/>
      </w:pPr>
      <w:r>
        <w:drawing>
          <wp:anchor distT="0" distB="0" distL="114300" distR="114300" simplePos="0" relativeHeight="251658240" behindDoc="1" locked="1" layoutInCell="0" allowOverlap="1" wp14:anchorId="15B6E51A" wp14:editId="1C675AFB">
            <wp:simplePos x="0" y="0"/>
            <wp:positionH relativeFrom="page">
              <wp:posOffset>-12065</wp:posOffset>
            </wp:positionH>
            <wp:positionV relativeFrom="page">
              <wp:posOffset>-635</wp:posOffset>
            </wp:positionV>
            <wp:extent cx="7567930" cy="1586230"/>
            <wp:effectExtent l="0" t="0" r="0" b="0"/>
            <wp:wrapNone/>
            <wp:docPr id="2" name="Picture 30" descr="Victorian Disability Worke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ictorian Disability Worker Commis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7930" cy="1586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0FBDF" w14:textId="77777777" w:rsidR="00A62D44" w:rsidRPr="004C6EEE" w:rsidRDefault="00A62D44" w:rsidP="004C6EEE">
      <w:pPr>
        <w:pStyle w:val="Sectionbreakfirstpage"/>
        <w:sectPr w:rsidR="00A62D44" w:rsidRPr="004C6EEE" w:rsidSect="00AD784C">
          <w:footerReference w:type="default" r:id="rId12"/>
          <w:pgSz w:w="11906" w:h="16838" w:code="9"/>
          <w:pgMar w:top="567" w:right="851" w:bottom="1418" w:left="851" w:header="510" w:footer="510" w:gutter="0"/>
          <w:cols w:space="708"/>
          <w:docGrid w:linePitch="360"/>
        </w:sectPr>
      </w:pPr>
    </w:p>
    <w:tbl>
      <w:tblPr>
        <w:tblW w:w="5514" w:type="dxa"/>
        <w:jc w:val="right"/>
        <w:tblCellMar>
          <w:left w:w="0" w:type="dxa"/>
          <w:right w:w="0" w:type="dxa"/>
        </w:tblCellMar>
        <w:tblLook w:val="0600" w:firstRow="0" w:lastRow="0" w:firstColumn="0" w:lastColumn="0" w:noHBand="1" w:noVBand="1"/>
      </w:tblPr>
      <w:tblGrid>
        <w:gridCol w:w="5514"/>
      </w:tblGrid>
      <w:tr w:rsidR="00AD784C" w:rsidRPr="00E60D6C" w14:paraId="65F8CC8C" w14:textId="77777777" w:rsidTr="00AD0BBF">
        <w:trPr>
          <w:trHeight w:val="1133"/>
          <w:jc w:val="right"/>
        </w:trPr>
        <w:tc>
          <w:tcPr>
            <w:tcW w:w="5514" w:type="dxa"/>
            <w:shd w:val="clear" w:color="auto" w:fill="auto"/>
            <w:vAlign w:val="bottom"/>
          </w:tcPr>
          <w:p w14:paraId="63EC2F63" w14:textId="759C1924" w:rsidR="007F540E" w:rsidRDefault="005E286A" w:rsidP="00E60D6C">
            <w:pPr>
              <w:pStyle w:val="VDWCmainheading"/>
            </w:pPr>
            <w:r>
              <w:t>Privacy p</w:t>
            </w:r>
            <w:r w:rsidR="007F540E">
              <w:t xml:space="preserve">olicy </w:t>
            </w:r>
          </w:p>
          <w:p w14:paraId="236B49BE" w14:textId="5474EDF3" w:rsidR="00AD784C" w:rsidRPr="00E60D6C" w:rsidRDefault="00AD784C" w:rsidP="00E60D6C">
            <w:pPr>
              <w:pStyle w:val="VDWCmainheading"/>
            </w:pPr>
          </w:p>
        </w:tc>
      </w:tr>
    </w:tbl>
    <w:p w14:paraId="14CC157E" w14:textId="77777777" w:rsidR="003D5CF2" w:rsidRDefault="003D5CF2" w:rsidP="00113E0F">
      <w:pPr>
        <w:pStyle w:val="Heading1"/>
      </w:pPr>
    </w:p>
    <w:p w14:paraId="515DAC52" w14:textId="24D96702" w:rsidR="00500F50" w:rsidRDefault="007F540E" w:rsidP="00500F50">
      <w:pPr>
        <w:pStyle w:val="Heading1"/>
      </w:pPr>
      <w:r>
        <w:t>Purpose</w:t>
      </w:r>
    </w:p>
    <w:p w14:paraId="02804978" w14:textId="7D925393" w:rsidR="007A3D3F" w:rsidRDefault="007A3D3F" w:rsidP="00E91485">
      <w:pPr>
        <w:pStyle w:val="VDWCbody"/>
      </w:pPr>
      <w:r>
        <w:t>This policy explains how the Victorian Disability Worker Commission (including the Victorian Disability Worker Commissioner) (</w:t>
      </w:r>
      <w:r w:rsidR="00875787">
        <w:t xml:space="preserve">the </w:t>
      </w:r>
      <w:r>
        <w:t xml:space="preserve">Commission) </w:t>
      </w:r>
      <w:r w:rsidR="4F45C99B">
        <w:t xml:space="preserve">and the Disability Worker Registration Board of Victoria (Board) </w:t>
      </w:r>
      <w:r>
        <w:t xml:space="preserve">collect, use and disclose personal and health information, including through </w:t>
      </w:r>
      <w:r w:rsidR="436B979F">
        <w:t xml:space="preserve">the </w:t>
      </w:r>
      <w:hyperlink r:id="rId13" w:history="1">
        <w:r w:rsidR="436B979F" w:rsidRPr="3D6C9810">
          <w:rPr>
            <w:rStyle w:val="Hyperlink"/>
          </w:rPr>
          <w:t>www.vdwc.vic.gov.au</w:t>
        </w:r>
      </w:hyperlink>
      <w:r>
        <w:t xml:space="preserve"> website. </w:t>
      </w:r>
    </w:p>
    <w:p w14:paraId="62D607B1" w14:textId="5A90082B" w:rsidR="007A3D3F" w:rsidRDefault="007A3D3F" w:rsidP="007A3D3F">
      <w:pPr>
        <w:pStyle w:val="Heading1"/>
      </w:pPr>
      <w:r>
        <w:t xml:space="preserve">About </w:t>
      </w:r>
      <w:r w:rsidR="009F171A">
        <w:t>u</w:t>
      </w:r>
      <w:r>
        <w:t>s</w:t>
      </w:r>
    </w:p>
    <w:p w14:paraId="402FC303" w14:textId="54A897D7" w:rsidR="0013601C" w:rsidRDefault="0013601C" w:rsidP="00E91485">
      <w:pPr>
        <w:pStyle w:val="VDWCbody"/>
      </w:pPr>
      <w:r>
        <w:t xml:space="preserve">The </w:t>
      </w:r>
      <w:r w:rsidRPr="005A3144">
        <w:rPr>
          <w:i/>
          <w:iCs/>
        </w:rPr>
        <w:t>Disability Service Safeguards Act 2018</w:t>
      </w:r>
      <w:r w:rsidRPr="0013601C">
        <w:t xml:space="preserve"> </w:t>
      </w:r>
      <w:r>
        <w:t>(Vic) (</w:t>
      </w:r>
      <w:r w:rsidRPr="00E91485">
        <w:t>DSS Act</w:t>
      </w:r>
      <w:r>
        <w:t>) establishes a registration and accreditation scheme for the Victorian disability workforce (</w:t>
      </w:r>
      <w:r w:rsidRPr="00E91485">
        <w:t>Scheme</w:t>
      </w:r>
      <w:r>
        <w:t xml:space="preserve">). </w:t>
      </w:r>
    </w:p>
    <w:p w14:paraId="035917DF" w14:textId="70609E0C" w:rsidR="0013601C" w:rsidRPr="00A66D94" w:rsidRDefault="0013601C" w:rsidP="00E91485">
      <w:pPr>
        <w:pStyle w:val="VDWCbody"/>
      </w:pPr>
      <w:r>
        <w:t xml:space="preserve">In performing </w:t>
      </w:r>
      <w:r w:rsidR="00615E40">
        <w:t xml:space="preserve">its </w:t>
      </w:r>
      <w:r>
        <w:t xml:space="preserve">functions under the </w:t>
      </w:r>
      <w:r w:rsidRPr="00BA3052">
        <w:t>DSS Act</w:t>
      </w:r>
      <w:r>
        <w:t>, the Commission collect</w:t>
      </w:r>
      <w:r w:rsidR="00615E40">
        <w:t>s</w:t>
      </w:r>
      <w:r>
        <w:t>, use</w:t>
      </w:r>
      <w:r w:rsidR="00615E40">
        <w:t>s</w:t>
      </w:r>
      <w:r>
        <w:t xml:space="preserve"> and disclose</w:t>
      </w:r>
      <w:r w:rsidR="00615E40">
        <w:t>s</w:t>
      </w:r>
      <w:r>
        <w:t xml:space="preserve"> personal information (including sensitive information) and health information about disability workers, disability students, recipients of disability services and other related persons.</w:t>
      </w:r>
    </w:p>
    <w:p w14:paraId="0BF567F5" w14:textId="147A8DFE" w:rsidR="0013601C" w:rsidRDefault="0013601C" w:rsidP="00E91485">
      <w:pPr>
        <w:pStyle w:val="VDWCbody"/>
      </w:pPr>
      <w:r>
        <w:t xml:space="preserve">The Commission </w:t>
      </w:r>
      <w:r w:rsidR="009333CA">
        <w:t xml:space="preserve">is </w:t>
      </w:r>
      <w:r>
        <w:t>committed to protecting the privacy of this personal and health information in compliance with:</w:t>
      </w:r>
    </w:p>
    <w:p w14:paraId="60A1E058" w14:textId="3FD7AD78" w:rsidR="0013601C" w:rsidRPr="0013601C" w:rsidRDefault="0013601C" w:rsidP="0013601C">
      <w:pPr>
        <w:pStyle w:val="VDWCbullet1"/>
      </w:pPr>
      <w:r>
        <w:t xml:space="preserve">the </w:t>
      </w:r>
      <w:r w:rsidRPr="00275F8D">
        <w:t>DSS Act</w:t>
      </w:r>
    </w:p>
    <w:p w14:paraId="3D286E9B" w14:textId="5026B374" w:rsidR="0013601C" w:rsidRPr="0013601C" w:rsidRDefault="0013601C" w:rsidP="0013601C">
      <w:pPr>
        <w:pStyle w:val="VDWCbullet1"/>
      </w:pPr>
      <w:r w:rsidRPr="00BA3052">
        <w:t>the</w:t>
      </w:r>
      <w:r w:rsidRPr="0013601C">
        <w:t xml:space="preserve"> </w:t>
      </w:r>
      <w:r w:rsidRPr="003178A5">
        <w:rPr>
          <w:i/>
          <w:iCs/>
        </w:rPr>
        <w:t>Privacy and Data Protection Act 2014</w:t>
      </w:r>
      <w:r w:rsidRPr="0013601C">
        <w:t xml:space="preserve"> </w:t>
      </w:r>
      <w:r>
        <w:t>(</w:t>
      </w:r>
      <w:r w:rsidRPr="00E91485">
        <w:t>PDP Act</w:t>
      </w:r>
      <w:r>
        <w:t>)</w:t>
      </w:r>
    </w:p>
    <w:p w14:paraId="5327F398" w14:textId="77BF4154" w:rsidR="0013601C" w:rsidRPr="0013601C" w:rsidRDefault="0013601C" w:rsidP="0013601C">
      <w:pPr>
        <w:pStyle w:val="VDWCbullet1"/>
      </w:pPr>
      <w:r w:rsidRPr="00BA3052">
        <w:t>the</w:t>
      </w:r>
      <w:r w:rsidRPr="0013601C">
        <w:t xml:space="preserve"> </w:t>
      </w:r>
      <w:r w:rsidRPr="003178A5">
        <w:rPr>
          <w:i/>
          <w:iCs/>
        </w:rPr>
        <w:t>Health Records Act 2001</w:t>
      </w:r>
      <w:r w:rsidRPr="0013601C">
        <w:t xml:space="preserve"> </w:t>
      </w:r>
      <w:r>
        <w:t>(</w:t>
      </w:r>
      <w:r w:rsidRPr="00E91485">
        <w:t>Health Records Act</w:t>
      </w:r>
      <w:r>
        <w:t>)</w:t>
      </w:r>
    </w:p>
    <w:p w14:paraId="3EB8EC67" w14:textId="7F3A2BB2" w:rsidR="0013601C" w:rsidRPr="0013601C" w:rsidRDefault="0013601C" w:rsidP="0013601C">
      <w:pPr>
        <w:pStyle w:val="VDWCbullet1"/>
      </w:pPr>
      <w:r w:rsidRPr="00BA3052">
        <w:t>the</w:t>
      </w:r>
      <w:r w:rsidRPr="0013601C">
        <w:t xml:space="preserve"> </w:t>
      </w:r>
      <w:r w:rsidRPr="003178A5">
        <w:rPr>
          <w:i/>
          <w:iCs/>
        </w:rPr>
        <w:t>Charter of Human Rights and Responsibilities Act 2006</w:t>
      </w:r>
      <w:r w:rsidRPr="0013601C">
        <w:t xml:space="preserve"> and</w:t>
      </w:r>
    </w:p>
    <w:p w14:paraId="5752119E" w14:textId="77777777" w:rsidR="0013601C" w:rsidRDefault="0013601C" w:rsidP="0013601C">
      <w:pPr>
        <w:pStyle w:val="VDWCbullet1"/>
      </w:pPr>
      <w:r w:rsidRPr="00BA3052">
        <w:t>the</w:t>
      </w:r>
      <w:r w:rsidRPr="0013601C">
        <w:t xml:space="preserve"> </w:t>
      </w:r>
      <w:r w:rsidRPr="003178A5">
        <w:rPr>
          <w:i/>
          <w:iCs/>
        </w:rPr>
        <w:t>Freedom of Information Act 1982</w:t>
      </w:r>
      <w:r w:rsidRPr="0013601C">
        <w:t>.</w:t>
      </w:r>
    </w:p>
    <w:p w14:paraId="06A59FF5" w14:textId="3CA60E0F" w:rsidR="001D5D07" w:rsidRDefault="001D5D07" w:rsidP="007A3D3F">
      <w:pPr>
        <w:pStyle w:val="Heading2"/>
      </w:pPr>
      <w:r>
        <w:t>Responsibilities of the</w:t>
      </w:r>
      <w:r w:rsidR="00B07EDF">
        <w:t xml:space="preserve"> Commission and</w:t>
      </w:r>
      <w:r>
        <w:t xml:space="preserve"> Board </w:t>
      </w:r>
    </w:p>
    <w:p w14:paraId="1AF62F35" w14:textId="5C19B338" w:rsidR="001D5D07" w:rsidRDefault="001D5D07" w:rsidP="005545CD">
      <w:pPr>
        <w:pStyle w:val="VDWCbody"/>
      </w:pPr>
      <w:r>
        <w:t xml:space="preserve">The Commission </w:t>
      </w:r>
      <w:r w:rsidR="168A790A">
        <w:t>and</w:t>
      </w:r>
      <w:r w:rsidR="00B07EDF">
        <w:t xml:space="preserve"> the Board </w:t>
      </w:r>
      <w:r w:rsidR="54F23208">
        <w:t>e</w:t>
      </w:r>
      <w:r w:rsidR="00B07EDF">
        <w:t xml:space="preserve">ach </w:t>
      </w:r>
      <w:r>
        <w:t xml:space="preserve">perform functions under the DSS Act, the key objectives of which are to promote the quality, safety, responsiveness and sustainability of the disability services workforce. </w:t>
      </w:r>
    </w:p>
    <w:p w14:paraId="1DA85AB0" w14:textId="77777777" w:rsidR="001D5D07" w:rsidRDefault="001D5D07" w:rsidP="007A3D3F">
      <w:pPr>
        <w:pStyle w:val="Heading3"/>
      </w:pPr>
      <w:r>
        <w:t>The Commission</w:t>
      </w:r>
    </w:p>
    <w:p w14:paraId="5EABC470" w14:textId="77777777" w:rsidR="001D5D07" w:rsidRDefault="001D5D07" w:rsidP="005545CD">
      <w:pPr>
        <w:pStyle w:val="VDWCbody"/>
      </w:pPr>
      <w:r>
        <w:t>The Commission is responsible for:</w:t>
      </w:r>
    </w:p>
    <w:p w14:paraId="7E9BE6DB" w14:textId="41008E50" w:rsidR="001D5D07" w:rsidRDefault="001D5D07" w:rsidP="001D5D07">
      <w:pPr>
        <w:pStyle w:val="VDWCbullet1"/>
      </w:pPr>
      <w:r>
        <w:t>administrative assistance to the Board to enable the Board to exercise its functions</w:t>
      </w:r>
    </w:p>
    <w:p w14:paraId="3DF46E86" w14:textId="4D605FDD" w:rsidR="001D5D07" w:rsidRDefault="001D5D07" w:rsidP="001D5D07">
      <w:pPr>
        <w:pStyle w:val="VDWCbullet1"/>
      </w:pPr>
      <w:r>
        <w:t>in conjunction with the Board, establishing and maintaining a public register of disability workers and a non-public register of disability students</w:t>
      </w:r>
    </w:p>
    <w:p w14:paraId="6540D408" w14:textId="054A8219" w:rsidR="001D5D07" w:rsidRDefault="001D5D07" w:rsidP="001D5D07">
      <w:pPr>
        <w:pStyle w:val="VDWCbullet1"/>
      </w:pPr>
      <w:r>
        <w:t>supporting the Board to perform its functions in relation to accreditation and registration</w:t>
      </w:r>
    </w:p>
    <w:p w14:paraId="03133072" w14:textId="166DA046" w:rsidR="001D5D07" w:rsidRDefault="001D5D07" w:rsidP="001D5D07">
      <w:pPr>
        <w:pStyle w:val="VDWCbullet1"/>
      </w:pPr>
      <w:r>
        <w:t>receiving, assessing and investigating complaints and notifications and, if appropriate, referring them to the Board</w:t>
      </w:r>
    </w:p>
    <w:p w14:paraId="12362A5B" w14:textId="06AA50D6" w:rsidR="001D5D07" w:rsidRDefault="001D5D07" w:rsidP="001D5D07">
      <w:pPr>
        <w:pStyle w:val="VDWCbullet1"/>
      </w:pPr>
      <w:r>
        <w:t>entering into an agreement with the Board about fees, the Board's budget and services to be provided by the Commission to the Board</w:t>
      </w:r>
    </w:p>
    <w:p w14:paraId="4303AD97" w14:textId="4EEBC615" w:rsidR="001D5D07" w:rsidRDefault="001D5D07" w:rsidP="001D5D07">
      <w:pPr>
        <w:pStyle w:val="VDWCbullet1"/>
      </w:pPr>
      <w:r>
        <w:t>providing advice to the Minister about matters referred to the Commission by the Minister</w:t>
      </w:r>
    </w:p>
    <w:p w14:paraId="7F27641A" w14:textId="461AF124" w:rsidR="001D5D07" w:rsidRDefault="001D5D07" w:rsidP="001D5D07">
      <w:pPr>
        <w:pStyle w:val="VDWCbullet1"/>
      </w:pPr>
      <w:r>
        <w:t>investigating and reporting on matters referred to the Commission by the Minister</w:t>
      </w:r>
    </w:p>
    <w:p w14:paraId="25382904" w14:textId="12A1BFEF" w:rsidR="001D5D07" w:rsidRDefault="001D5D07" w:rsidP="001D5D07">
      <w:pPr>
        <w:pStyle w:val="VDWCbullet1"/>
      </w:pPr>
      <w:r>
        <w:t>monitoring, identifying and advising the Minister about trends in relation to complaints and notifications, and other related matters</w:t>
      </w:r>
    </w:p>
    <w:p w14:paraId="768A43C2" w14:textId="624CDCBC" w:rsidR="001D5D07" w:rsidRDefault="001D5D07" w:rsidP="001D5D07">
      <w:pPr>
        <w:pStyle w:val="VDWCbullet1"/>
      </w:pPr>
      <w:r>
        <w:t>carrying out and supporting research into the handling of complaints and ways of improving the practice of disability workers and the disability services they provide and</w:t>
      </w:r>
    </w:p>
    <w:p w14:paraId="31566A5B" w14:textId="77777777" w:rsidR="001D5D07" w:rsidRDefault="001D5D07" w:rsidP="001D5D07">
      <w:pPr>
        <w:pStyle w:val="VDWCbullet1"/>
      </w:pPr>
      <w:r>
        <w:lastRenderedPageBreak/>
        <w:t>providing information and education to the public about disability workers and their conduct, the complaint handling standards and the complaints and notification processes.</w:t>
      </w:r>
    </w:p>
    <w:p w14:paraId="5B3AE8B8" w14:textId="5420D5EF" w:rsidR="001D5D07" w:rsidRDefault="001D5D07" w:rsidP="005545CD">
      <w:pPr>
        <w:pStyle w:val="VDWCbody"/>
      </w:pPr>
    </w:p>
    <w:p w14:paraId="6D17F368" w14:textId="77777777" w:rsidR="00B07EDF" w:rsidRDefault="00B07EDF" w:rsidP="00B07EDF">
      <w:pPr>
        <w:pStyle w:val="Heading3"/>
      </w:pPr>
      <w:r>
        <w:t>The Board</w:t>
      </w:r>
    </w:p>
    <w:p w14:paraId="4AE1D7E3" w14:textId="77777777" w:rsidR="00B07EDF" w:rsidRDefault="00B07EDF" w:rsidP="00B07EDF">
      <w:pPr>
        <w:pStyle w:val="VDWCbody"/>
      </w:pPr>
      <w:r>
        <w:t>The Board is responsible for:</w:t>
      </w:r>
    </w:p>
    <w:p w14:paraId="55240A16" w14:textId="77777777" w:rsidR="00B07EDF" w:rsidRDefault="00B07EDF" w:rsidP="00B07EDF">
      <w:pPr>
        <w:pStyle w:val="VDWCbullet1"/>
      </w:pPr>
      <w:r>
        <w:t>setting standards for the registration and practice of disability workers</w:t>
      </w:r>
    </w:p>
    <w:p w14:paraId="62A3DA09" w14:textId="77777777" w:rsidR="00B07EDF" w:rsidRDefault="00B07EDF" w:rsidP="00B07EDF">
      <w:pPr>
        <w:pStyle w:val="VDWCbullet1"/>
      </w:pPr>
      <w:r>
        <w:t>accrediting training programs and supervised practice arrangements that qualify persons for registration as disability workers</w:t>
      </w:r>
    </w:p>
    <w:p w14:paraId="42F088A0" w14:textId="77777777" w:rsidR="00B07EDF" w:rsidRDefault="00B07EDF" w:rsidP="00B07EDF">
      <w:pPr>
        <w:pStyle w:val="VDWCbullet1"/>
      </w:pPr>
      <w:r>
        <w:t>assessing the probity and qualifications of applicants for registration</w:t>
      </w:r>
    </w:p>
    <w:p w14:paraId="20B6378C" w14:textId="77777777" w:rsidR="00B07EDF" w:rsidRDefault="00B07EDF" w:rsidP="00B07EDF">
      <w:pPr>
        <w:pStyle w:val="VDWCbullet1"/>
      </w:pPr>
      <w:r>
        <w:t>registering suitably qualified disability workers</w:t>
      </w:r>
    </w:p>
    <w:p w14:paraId="097DAC09" w14:textId="77777777" w:rsidR="00B07EDF" w:rsidRDefault="00B07EDF" w:rsidP="00B07EDF">
      <w:pPr>
        <w:pStyle w:val="VDWCbullet1"/>
      </w:pPr>
      <w:r>
        <w:t>registering disability students to undertake supervised practice as part of an approved program of study</w:t>
      </w:r>
    </w:p>
    <w:p w14:paraId="353D9542" w14:textId="77777777" w:rsidR="00B07EDF" w:rsidRDefault="00B07EDF" w:rsidP="00B07EDF">
      <w:pPr>
        <w:pStyle w:val="VDWCbullet1"/>
      </w:pPr>
      <w:r>
        <w:t>dealing with matters of impairment in relation to registered disability workers and disability students</w:t>
      </w:r>
    </w:p>
    <w:p w14:paraId="1693E377" w14:textId="77777777" w:rsidR="00B07EDF" w:rsidRDefault="00B07EDF" w:rsidP="00B07EDF">
      <w:pPr>
        <w:pStyle w:val="VDWCbullet1"/>
      </w:pPr>
      <w:r>
        <w:t>receiving, assessing and dealing with notifications and complaints about registered disability workers and disability students</w:t>
      </w:r>
    </w:p>
    <w:p w14:paraId="428A0194" w14:textId="77777777" w:rsidR="00B07EDF" w:rsidRDefault="00B07EDF" w:rsidP="00B07EDF">
      <w:pPr>
        <w:pStyle w:val="VDWCbullet1"/>
      </w:pPr>
      <w:r>
        <w:t>monitoring compliance with registration and practice standards by registered disability workers</w:t>
      </w:r>
    </w:p>
    <w:p w14:paraId="436B7131" w14:textId="77777777" w:rsidR="00B07EDF" w:rsidRDefault="00B07EDF" w:rsidP="00B07EDF">
      <w:pPr>
        <w:pStyle w:val="VDWCbullet1"/>
      </w:pPr>
      <w:r>
        <w:t>collecting and providing data for disability workforce planning and system improvement purposes and</w:t>
      </w:r>
    </w:p>
    <w:p w14:paraId="0BE24A42" w14:textId="77777777" w:rsidR="00B07EDF" w:rsidRDefault="00B07EDF" w:rsidP="00B07EDF">
      <w:pPr>
        <w:pStyle w:val="VDWCbullet1"/>
      </w:pPr>
      <w:r>
        <w:t>regulating the advertising of services provided by registered disability workers.</w:t>
      </w:r>
    </w:p>
    <w:p w14:paraId="0ABC1901" w14:textId="77777777" w:rsidR="00B07EDF" w:rsidRDefault="00B07EDF" w:rsidP="005545CD">
      <w:pPr>
        <w:pStyle w:val="VDWCbody"/>
      </w:pPr>
    </w:p>
    <w:p w14:paraId="7DFEB581" w14:textId="2C239530" w:rsidR="001D5D07" w:rsidRDefault="001D5D07" w:rsidP="005545CD">
      <w:pPr>
        <w:pStyle w:val="VDWCbody"/>
      </w:pPr>
      <w:r>
        <w:t xml:space="preserve">The Victorian Disability Worker Commissioner </w:t>
      </w:r>
      <w:r w:rsidR="00D11ACD">
        <w:t>(the Commissioner)</w:t>
      </w:r>
      <w:r>
        <w:t xml:space="preserve"> is responsible for issuing Prohibition Orders, Interim Prohibition Orders and public statements in relation to unregistered disability workers.</w:t>
      </w:r>
    </w:p>
    <w:p w14:paraId="663554B4" w14:textId="0F504944" w:rsidR="009E6528" w:rsidRDefault="007F540E" w:rsidP="00497683">
      <w:pPr>
        <w:pStyle w:val="Heading1"/>
      </w:pPr>
      <w:r>
        <w:t>Definitions</w:t>
      </w:r>
    </w:p>
    <w:p w14:paraId="0FB4CCD2" w14:textId="77777777" w:rsidR="003F1BE7" w:rsidRPr="00497683" w:rsidRDefault="003F1BE7" w:rsidP="00497683">
      <w:pPr>
        <w:pStyle w:val="Heading2"/>
      </w:pPr>
      <w:r w:rsidRPr="00497683">
        <w:t xml:space="preserve">Personal information </w:t>
      </w:r>
    </w:p>
    <w:p w14:paraId="26224BD0" w14:textId="77777777" w:rsidR="003F1BE7" w:rsidRDefault="003F1BE7" w:rsidP="00497683">
      <w:pPr>
        <w:pStyle w:val="VDWCbody"/>
      </w:pPr>
      <w:r>
        <w:t xml:space="preserve">Personal information is defined in the PDP </w:t>
      </w:r>
      <w:r w:rsidRPr="003E4B8F">
        <w:t>Act</w:t>
      </w:r>
      <w:r>
        <w:t xml:space="preserve"> as information or an opinion (including information or an opinion forming part of a database), that is recorded in any form and whether true or not, about an individual whose identity is apparent, or can reasonably be ascertained, from the information or opinion, but does not include information of a kind to which the </w:t>
      </w:r>
      <w:r w:rsidRPr="00D6179A">
        <w:t>Health Records Act</w:t>
      </w:r>
      <w:r w:rsidRPr="00FA50B8">
        <w:rPr>
          <w:i/>
        </w:rPr>
        <w:t xml:space="preserve"> </w:t>
      </w:r>
      <w:r>
        <w:t>applies.</w:t>
      </w:r>
    </w:p>
    <w:p w14:paraId="0CC334E5" w14:textId="77777777" w:rsidR="003F1BE7" w:rsidRPr="00497683" w:rsidRDefault="003F1BE7" w:rsidP="00497683">
      <w:pPr>
        <w:pStyle w:val="Heading2"/>
      </w:pPr>
      <w:r w:rsidRPr="00497683">
        <w:t>Sensitive information</w:t>
      </w:r>
    </w:p>
    <w:p w14:paraId="37D0EFDC" w14:textId="77777777" w:rsidR="003F1BE7" w:rsidRDefault="003F1BE7" w:rsidP="005545CD">
      <w:pPr>
        <w:pStyle w:val="VDWCbody"/>
      </w:pPr>
      <w:r>
        <w:t xml:space="preserve">Sensitive information is a subset of personal information and is defined in the PDP </w:t>
      </w:r>
      <w:r w:rsidRPr="008F5204">
        <w:t>Act</w:t>
      </w:r>
      <w:r>
        <w:t xml:space="preserve"> as information or an opinion about an individual’s:</w:t>
      </w:r>
    </w:p>
    <w:p w14:paraId="658EAD60" w14:textId="39BCF8E1" w:rsidR="003F1BE7" w:rsidRDefault="003F1BE7" w:rsidP="008E63BA">
      <w:pPr>
        <w:pStyle w:val="VDWCbullet1"/>
      </w:pPr>
      <w:r>
        <w:t>racial or ethnic origin</w:t>
      </w:r>
    </w:p>
    <w:p w14:paraId="2D9E2FA4" w14:textId="21A4AEC0" w:rsidR="003F1BE7" w:rsidRDefault="003F1BE7" w:rsidP="008E63BA">
      <w:pPr>
        <w:pStyle w:val="VDWCbullet1"/>
      </w:pPr>
      <w:r>
        <w:t>political opinions</w:t>
      </w:r>
    </w:p>
    <w:p w14:paraId="28967268" w14:textId="45D0BB84" w:rsidR="003F1BE7" w:rsidRDefault="003F1BE7" w:rsidP="008E63BA">
      <w:pPr>
        <w:pStyle w:val="VDWCbullet1"/>
      </w:pPr>
      <w:r>
        <w:t>membership of a political association</w:t>
      </w:r>
    </w:p>
    <w:p w14:paraId="2EAFD2BA" w14:textId="73B68088" w:rsidR="003F1BE7" w:rsidRDefault="003F1BE7" w:rsidP="008E63BA">
      <w:pPr>
        <w:pStyle w:val="VDWCbullet1"/>
      </w:pPr>
      <w:r>
        <w:t>religious beliefs or affiliations</w:t>
      </w:r>
    </w:p>
    <w:p w14:paraId="2A340655" w14:textId="3B6DC97B" w:rsidR="003F1BE7" w:rsidRDefault="003F1BE7" w:rsidP="008E63BA">
      <w:pPr>
        <w:pStyle w:val="VDWCbullet1"/>
      </w:pPr>
      <w:r>
        <w:t>philosophical beliefs</w:t>
      </w:r>
    </w:p>
    <w:p w14:paraId="28E3BFC6" w14:textId="7DD7590F" w:rsidR="003F1BE7" w:rsidRDefault="003F1BE7" w:rsidP="008E63BA">
      <w:pPr>
        <w:pStyle w:val="VDWCbullet1"/>
      </w:pPr>
      <w:r>
        <w:t>membership of a professional or trade association</w:t>
      </w:r>
    </w:p>
    <w:p w14:paraId="4440E10D" w14:textId="49808B6F" w:rsidR="003F1BE7" w:rsidRDefault="003F1BE7" w:rsidP="008E63BA">
      <w:pPr>
        <w:pStyle w:val="VDWCbullet1"/>
      </w:pPr>
      <w:r>
        <w:t>membership of a trade union</w:t>
      </w:r>
    </w:p>
    <w:p w14:paraId="08068C90" w14:textId="63720C3F" w:rsidR="003F1BE7" w:rsidRDefault="003F1BE7" w:rsidP="008E63BA">
      <w:pPr>
        <w:pStyle w:val="VDWCbullet1"/>
      </w:pPr>
      <w:r>
        <w:t>sexual preferences, orientation or practices or</w:t>
      </w:r>
    </w:p>
    <w:p w14:paraId="7E4B25CF" w14:textId="77777777" w:rsidR="003F1BE7" w:rsidRDefault="003F1BE7" w:rsidP="008E63BA">
      <w:pPr>
        <w:pStyle w:val="VDWCbullet1"/>
      </w:pPr>
      <w:r>
        <w:t>criminal record.</w:t>
      </w:r>
    </w:p>
    <w:p w14:paraId="23F66A91" w14:textId="77777777" w:rsidR="003F1BE7" w:rsidRDefault="003F1BE7" w:rsidP="003F1BE7">
      <w:pPr>
        <w:pStyle w:val="Heading2"/>
      </w:pPr>
      <w:r>
        <w:t>Health information</w:t>
      </w:r>
    </w:p>
    <w:p w14:paraId="3F62F399" w14:textId="77777777" w:rsidR="003F1BE7" w:rsidRPr="008E63BA" w:rsidRDefault="003F1BE7" w:rsidP="008E63BA">
      <w:pPr>
        <w:pStyle w:val="VDWCbody"/>
      </w:pPr>
      <w:r w:rsidRPr="008E63BA">
        <w:t xml:space="preserve">Health information is defined in the Health Records Act as: </w:t>
      </w:r>
    </w:p>
    <w:p w14:paraId="522813E4" w14:textId="77777777" w:rsidR="003F1BE7" w:rsidRDefault="003F1BE7" w:rsidP="008E63BA">
      <w:pPr>
        <w:pStyle w:val="VDWCbullet1"/>
      </w:pPr>
      <w:r>
        <w:lastRenderedPageBreak/>
        <w:t xml:space="preserve">information or an opinion about: </w:t>
      </w:r>
    </w:p>
    <w:p w14:paraId="668FED77" w14:textId="294CAE72" w:rsidR="003F1BE7" w:rsidRDefault="003F1BE7" w:rsidP="008E63BA">
      <w:pPr>
        <w:pStyle w:val="VDWCbullet1"/>
        <w:numPr>
          <w:ilvl w:val="0"/>
          <w:numId w:val="0"/>
        </w:numPr>
        <w:ind w:left="284" w:firstLine="436"/>
      </w:pPr>
      <w:r>
        <w:t>the physical, mental or psychological health (at any time) of an individual or</w:t>
      </w:r>
    </w:p>
    <w:p w14:paraId="3A95CDB1" w14:textId="7DCD11EB" w:rsidR="003F1BE7" w:rsidRDefault="003F1BE7" w:rsidP="008E63BA">
      <w:pPr>
        <w:pStyle w:val="VDWCbullet1"/>
        <w:numPr>
          <w:ilvl w:val="0"/>
          <w:numId w:val="0"/>
        </w:numPr>
        <w:ind w:left="284" w:firstLine="436"/>
      </w:pPr>
      <w:r>
        <w:t>a disability (at any time) of an individual or</w:t>
      </w:r>
    </w:p>
    <w:p w14:paraId="2000C284" w14:textId="558F9390" w:rsidR="003F1BE7" w:rsidRDefault="003F1BE7" w:rsidP="00DA6514">
      <w:pPr>
        <w:pStyle w:val="VDWCbullet1"/>
        <w:numPr>
          <w:ilvl w:val="0"/>
          <w:numId w:val="0"/>
        </w:numPr>
        <w:ind w:left="284" w:firstLine="436"/>
      </w:pPr>
      <w:r>
        <w:t xml:space="preserve">an individual's expressed wishes about the future provision of health services to </w:t>
      </w:r>
      <w:r w:rsidR="08250C81">
        <w:t>them</w:t>
      </w:r>
      <w:r>
        <w:t xml:space="preserve"> or</w:t>
      </w:r>
    </w:p>
    <w:p w14:paraId="5832F2CE" w14:textId="77777777" w:rsidR="003F1BE7" w:rsidRDefault="003F1BE7" w:rsidP="00DA6514">
      <w:pPr>
        <w:pStyle w:val="VDWCbullet1"/>
        <w:numPr>
          <w:ilvl w:val="0"/>
          <w:numId w:val="0"/>
        </w:numPr>
        <w:ind w:left="284" w:firstLine="436"/>
      </w:pPr>
      <w:r>
        <w:t>a health service provided, or to be provided, to an individual,</w:t>
      </w:r>
    </w:p>
    <w:p w14:paraId="3599B329" w14:textId="7DF0121D" w:rsidR="003F1BE7" w:rsidRDefault="003F1BE7" w:rsidP="005545CD">
      <w:pPr>
        <w:pStyle w:val="VDWCbullet1"/>
        <w:numPr>
          <w:ilvl w:val="0"/>
          <w:numId w:val="0"/>
        </w:numPr>
        <w:ind w:left="284"/>
      </w:pPr>
      <w:r>
        <w:t xml:space="preserve">that is also personal information (see definition of personal information under the </w:t>
      </w:r>
      <w:r w:rsidRPr="004D7D4D">
        <w:t>Health Records Act</w:t>
      </w:r>
      <w:r>
        <w:t xml:space="preserve"> below) or</w:t>
      </w:r>
    </w:p>
    <w:p w14:paraId="647AFC11" w14:textId="7DF3E98D" w:rsidR="003F1BE7" w:rsidRDefault="003F1BE7" w:rsidP="00DA6514">
      <w:pPr>
        <w:pStyle w:val="VDWCbullet1"/>
      </w:pPr>
      <w:r>
        <w:t>other personal information collected to provide, or in providing, a health service or</w:t>
      </w:r>
    </w:p>
    <w:p w14:paraId="5D24FFA6" w14:textId="55AB60B3" w:rsidR="003F1BE7" w:rsidRDefault="003F1BE7" w:rsidP="00DA6514">
      <w:pPr>
        <w:pStyle w:val="VDWCbullet1"/>
      </w:pPr>
      <w:r>
        <w:t xml:space="preserve">other personal information about an individual collected in connection with the donation, or intended donation, by the individual of </w:t>
      </w:r>
      <w:r w:rsidR="4ABE4E88">
        <w:t>their</w:t>
      </w:r>
      <w:r>
        <w:t xml:space="preserve"> body parts, organs or body substances or</w:t>
      </w:r>
    </w:p>
    <w:p w14:paraId="6F707D96" w14:textId="4FD7ADC6" w:rsidR="003F1BE7" w:rsidRDefault="003F1BE7" w:rsidP="00DA6514">
      <w:pPr>
        <w:pStyle w:val="VDWCbullet1"/>
      </w:pPr>
      <w:r>
        <w:t xml:space="preserve">other personal information that is genetic information about an individual in a form which is or could be predictive of the health (at any time) of the individual or of any of </w:t>
      </w:r>
      <w:r w:rsidR="58F5509A">
        <w:t>their</w:t>
      </w:r>
      <w:r>
        <w:t xml:space="preserve"> descendants.</w:t>
      </w:r>
    </w:p>
    <w:p w14:paraId="498ECE1D" w14:textId="556F6544" w:rsidR="003F1BE7" w:rsidRPr="003E4B8F" w:rsidRDefault="003F1BE7" w:rsidP="00DA6514">
      <w:pPr>
        <w:pStyle w:val="VDWCbody"/>
      </w:pPr>
      <w:r w:rsidRPr="003E4B8F">
        <w:t>Personal information is defined in the Health Records Act</w:t>
      </w:r>
      <w:r>
        <w:t xml:space="preserve"> </w:t>
      </w:r>
      <w:r w:rsidRPr="003E4B8F">
        <w:t>as information or an opinion (including information or an opinion forming part of a database), whether true or not, and whether recorded in a material form or not, about an individual whose identity is apparent, or can reasonably be ascertained, from the information or opinion, but does not include information about an individual who has been dead for more than 30 years.</w:t>
      </w:r>
    </w:p>
    <w:p w14:paraId="06861AA9" w14:textId="77777777" w:rsidR="003F1BE7" w:rsidRDefault="003F1BE7" w:rsidP="00DA6514">
      <w:pPr>
        <w:pStyle w:val="Heading3"/>
      </w:pPr>
      <w:r w:rsidRPr="007F408E">
        <w:t>Figure 1. Relationship between personal, sensitive and health information</w:t>
      </w:r>
    </w:p>
    <w:p w14:paraId="61B97CFD" w14:textId="77777777" w:rsidR="003F1BE7" w:rsidRPr="00785A30" w:rsidRDefault="003F1BE7" w:rsidP="005545CD">
      <w:pPr>
        <w:pStyle w:val="VDWCbody"/>
        <w:jc w:val="center"/>
      </w:pPr>
      <w:r>
        <w:rPr>
          <w:noProof/>
        </w:rPr>
        <w:drawing>
          <wp:inline distT="0" distB="0" distL="0" distR="0" wp14:anchorId="23FCED93" wp14:editId="4059850A">
            <wp:extent cx="2514600" cy="2496312"/>
            <wp:effectExtent l="0" t="0" r="0" b="0"/>
            <wp:docPr id="34" name="Picture 34" descr="This figure is a visual summary that personal and health are discrete types of information. Sensitive information is a subset of pers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4">
                      <a:extLst>
                        <a:ext uri="{28A0092B-C50C-407E-A947-70E740481C1C}">
                          <a14:useLocalDpi xmlns:a14="http://schemas.microsoft.com/office/drawing/2010/main" val="0"/>
                        </a:ext>
                      </a:extLst>
                    </a:blip>
                    <a:stretch>
                      <a:fillRect/>
                    </a:stretch>
                  </pic:blipFill>
                  <pic:spPr>
                    <a:xfrm>
                      <a:off x="0" y="0"/>
                      <a:ext cx="2514600" cy="2496312"/>
                    </a:xfrm>
                    <a:prstGeom prst="rect">
                      <a:avLst/>
                    </a:prstGeom>
                  </pic:spPr>
                </pic:pic>
              </a:graphicData>
            </a:graphic>
          </wp:inline>
        </w:drawing>
      </w:r>
    </w:p>
    <w:p w14:paraId="7DC1D27C" w14:textId="41566505" w:rsidR="003F1BE7" w:rsidRDefault="003F1BE7" w:rsidP="009E6528">
      <w:pPr>
        <w:pStyle w:val="VDWCbody"/>
      </w:pPr>
    </w:p>
    <w:p w14:paraId="2A6E5034" w14:textId="1681FA58" w:rsidR="00DA6514" w:rsidRDefault="00EE7C64" w:rsidP="009E6528">
      <w:pPr>
        <w:pStyle w:val="VDWCbody"/>
      </w:pPr>
      <w:r>
        <w:t xml:space="preserve">Figure 1 </w:t>
      </w:r>
      <w:r w:rsidR="00A86E1A">
        <w:t>illustrates</w:t>
      </w:r>
      <w:r w:rsidR="007F5D3B">
        <w:t xml:space="preserve"> </w:t>
      </w:r>
      <w:r>
        <w:t>that health information and personal information are distinct categories. Sensitive information is a subset of personal information.</w:t>
      </w:r>
    </w:p>
    <w:p w14:paraId="041622BA" w14:textId="569BBD8C" w:rsidR="007F540E" w:rsidRDefault="007F540E" w:rsidP="007F540E">
      <w:pPr>
        <w:pStyle w:val="Heading1"/>
      </w:pPr>
      <w:r>
        <w:t>Application</w:t>
      </w:r>
    </w:p>
    <w:p w14:paraId="2C818908" w14:textId="2D21CC9B" w:rsidR="005737D5" w:rsidRDefault="005737D5" w:rsidP="0087153B">
      <w:pPr>
        <w:pStyle w:val="VDWCbody"/>
      </w:pPr>
      <w:r>
        <w:t>This policy applies to all personal and health information collected, stored, used and disclosed by the Board or Commission about individuals including disability workers, disability students, recipients of disability services and other related persons.</w:t>
      </w:r>
    </w:p>
    <w:p w14:paraId="3A97B8AA" w14:textId="77777777" w:rsidR="00D87000" w:rsidRDefault="000225CA" w:rsidP="006C58D2">
      <w:pPr>
        <w:pStyle w:val="Heading1"/>
      </w:pPr>
      <w:bookmarkStart w:id="0" w:name="_Hlk25315491"/>
      <w:r>
        <w:t xml:space="preserve">Collection of </w:t>
      </w:r>
      <w:r w:rsidR="00D87000">
        <w:t>information</w:t>
      </w:r>
    </w:p>
    <w:p w14:paraId="38ECB732" w14:textId="443A7D78" w:rsidR="007F540E" w:rsidRDefault="00D87000" w:rsidP="00D87000">
      <w:pPr>
        <w:pStyle w:val="Heading2"/>
      </w:pPr>
      <w:r>
        <w:t xml:space="preserve">Collection of </w:t>
      </w:r>
      <w:r w:rsidR="000225CA">
        <w:t>personal and health information</w:t>
      </w:r>
    </w:p>
    <w:p w14:paraId="5EC35710" w14:textId="10DF635E" w:rsidR="00782348" w:rsidRDefault="00782348" w:rsidP="00782348">
      <w:pPr>
        <w:pStyle w:val="VDWCbody"/>
      </w:pPr>
      <w:r>
        <w:t xml:space="preserve">The Commission may collect personal and health information about an individual as necessary to fulfil </w:t>
      </w:r>
      <w:r w:rsidR="00B07EDF">
        <w:t xml:space="preserve">its </w:t>
      </w:r>
      <w:r>
        <w:t>functions.</w:t>
      </w:r>
    </w:p>
    <w:p w14:paraId="06EFF208" w14:textId="671FD606" w:rsidR="00782348" w:rsidRDefault="00782348" w:rsidP="00782348">
      <w:pPr>
        <w:pStyle w:val="VDWCbody"/>
      </w:pPr>
      <w:r>
        <w:t xml:space="preserve">The Commission </w:t>
      </w:r>
      <w:r w:rsidR="7CBBEFFF">
        <w:t xml:space="preserve">and the Board </w:t>
      </w:r>
      <w:r>
        <w:t>typically collect information in the following ways:</w:t>
      </w:r>
    </w:p>
    <w:p w14:paraId="5E93C867" w14:textId="435B5311" w:rsidR="00DA5205" w:rsidRDefault="00DA5205" w:rsidP="00DA5205">
      <w:pPr>
        <w:pStyle w:val="VDWCbullet1"/>
      </w:pPr>
      <w:r>
        <w:lastRenderedPageBreak/>
        <w:t>directly from the individual to whom the information relates</w:t>
      </w:r>
    </w:p>
    <w:p w14:paraId="667C0AF5" w14:textId="58466410" w:rsidR="00DA5205" w:rsidRDefault="00DA5205" w:rsidP="00DA5205">
      <w:pPr>
        <w:pStyle w:val="VDWCbullet1"/>
      </w:pPr>
      <w:r>
        <w:t>where it is not reasonable or practicable to collect the information directly from the individual, information may be collected from a third party, such as the individual's authorised representative</w:t>
      </w:r>
    </w:p>
    <w:p w14:paraId="3FBD364A" w14:textId="137FBE54" w:rsidR="00DA5205" w:rsidRDefault="00DA5205" w:rsidP="00DA5205">
      <w:pPr>
        <w:pStyle w:val="VDWCbullet1"/>
      </w:pPr>
      <w:r>
        <w:t xml:space="preserve">from </w:t>
      </w:r>
      <w:r w:rsidR="2CA92C2E">
        <w:t>each other</w:t>
      </w:r>
      <w:r>
        <w:t>, where the sharing of information between the Board and the Commission is consistent with their respective statutory functions</w:t>
      </w:r>
    </w:p>
    <w:p w14:paraId="58D89431" w14:textId="15E8C1EE" w:rsidR="00DA5205" w:rsidRDefault="00DA5205" w:rsidP="00DA5205">
      <w:pPr>
        <w:pStyle w:val="VDWCbullet1"/>
      </w:pPr>
      <w:r>
        <w:t>from a person who makes a complaint or statutory notification under the Scheme</w:t>
      </w:r>
    </w:p>
    <w:p w14:paraId="07B9F771" w14:textId="466BF9A9" w:rsidR="00DA5205" w:rsidRDefault="00DA5205" w:rsidP="00DA5205">
      <w:pPr>
        <w:pStyle w:val="VDWCbullet1"/>
      </w:pPr>
      <w:r>
        <w:t>from entities who provide assistance with identity verification, screening and confirmation of qualifications, particularly as relevant to assessing eligibility for registration as a disability worker or disability student. Examples of such entities include Department of Justice</w:t>
      </w:r>
      <w:r w:rsidR="007A3D3F">
        <w:t xml:space="preserve"> and Community Safety</w:t>
      </w:r>
      <w:r>
        <w:t xml:space="preserve">, registered </w:t>
      </w:r>
      <w:r w:rsidR="0893088E">
        <w:t xml:space="preserve">document verification </w:t>
      </w:r>
      <w:r>
        <w:t>service providers and educational or training institutions</w:t>
      </w:r>
    </w:p>
    <w:p w14:paraId="04566326" w14:textId="612F0E68" w:rsidR="00DA5205" w:rsidRDefault="00DA5205" w:rsidP="00DA5205">
      <w:pPr>
        <w:pStyle w:val="VDWCbullet1"/>
      </w:pPr>
      <w:r>
        <w:t>from an assessor who conducts a health assessment or a performance assessment in relation to a registered disability worker or disability student</w:t>
      </w:r>
    </w:p>
    <w:p w14:paraId="01266C05" w14:textId="10CC349D" w:rsidR="00DA5205" w:rsidRDefault="00DA5205" w:rsidP="00DA5205">
      <w:pPr>
        <w:pStyle w:val="VDWCbullet1"/>
      </w:pPr>
      <w:r>
        <w:t>from the Victorian Civil and Administrative Tribunal (</w:t>
      </w:r>
      <w:r>
        <w:rPr>
          <w:b/>
        </w:rPr>
        <w:t>VCAT</w:t>
      </w:r>
      <w:r w:rsidRPr="00BD20F2">
        <w:t>)</w:t>
      </w:r>
      <w:r>
        <w:t>, after a relevant matter is referred to VCAT</w:t>
      </w:r>
      <w:r w:rsidR="00E87992">
        <w:t xml:space="preserve"> by the Board, or</w:t>
      </w:r>
      <w:r>
        <w:t xml:space="preserve"> </w:t>
      </w:r>
      <w:r w:rsidR="00F34156">
        <w:t>by a person affected by a decision of the Commission or the Board</w:t>
      </w:r>
      <w:r>
        <w:t xml:space="preserve"> </w:t>
      </w:r>
    </w:p>
    <w:p w14:paraId="3A0AACAC" w14:textId="63DD107B" w:rsidR="00DA5205" w:rsidRDefault="00DA5205" w:rsidP="00DA5205">
      <w:pPr>
        <w:pStyle w:val="VDWCbullet1"/>
      </w:pPr>
      <w:r>
        <w:t>from other Commonwealth, State or Territory entities under statutory information sharing arrangements and</w:t>
      </w:r>
    </w:p>
    <w:p w14:paraId="468F0672" w14:textId="77777777" w:rsidR="00DA5205" w:rsidRPr="001004F6" w:rsidRDefault="00DA5205" w:rsidP="00DA5205">
      <w:pPr>
        <w:pStyle w:val="VDWCbullet1"/>
      </w:pPr>
      <w:r>
        <w:t xml:space="preserve">in other circumstances </w:t>
      </w:r>
      <w:r w:rsidRPr="001004F6">
        <w:t>where information may be provided by a third party</w:t>
      </w:r>
      <w:r>
        <w:t>.</w:t>
      </w:r>
    </w:p>
    <w:p w14:paraId="65E3CC55" w14:textId="3A8E88EA" w:rsidR="00347B66" w:rsidRDefault="00AC35DD" w:rsidP="00D87000">
      <w:pPr>
        <w:pStyle w:val="Heading2"/>
      </w:pPr>
      <w:r>
        <w:t>Collection of sensitive information</w:t>
      </w:r>
    </w:p>
    <w:p w14:paraId="45881628" w14:textId="375DC177" w:rsidR="00F534FC" w:rsidRDefault="00F534FC" w:rsidP="00F534FC">
      <w:pPr>
        <w:pStyle w:val="VDWCbody"/>
      </w:pPr>
      <w:r>
        <w:t xml:space="preserve">The Commission </w:t>
      </w:r>
      <w:r w:rsidR="613E4A92">
        <w:t xml:space="preserve">or the Board </w:t>
      </w:r>
      <w:r>
        <w:t>may collect sensitive information where:</w:t>
      </w:r>
    </w:p>
    <w:p w14:paraId="10C6E582" w14:textId="32CE2077" w:rsidR="00F534FC" w:rsidRPr="00FA50B8" w:rsidRDefault="00F534FC" w:rsidP="00F534FC">
      <w:pPr>
        <w:pStyle w:val="VDWCbullet1"/>
      </w:pPr>
      <w:r w:rsidRPr="00FA50B8">
        <w:t>the individual has consented to the collection</w:t>
      </w:r>
      <w:r>
        <w:t xml:space="preserve"> </w:t>
      </w:r>
    </w:p>
    <w:p w14:paraId="395F720F" w14:textId="28C050A5" w:rsidR="00F534FC" w:rsidRPr="00FA50B8" w:rsidRDefault="00F534FC" w:rsidP="00F534FC">
      <w:pPr>
        <w:pStyle w:val="VDWCbullet1"/>
      </w:pPr>
      <w:r w:rsidRPr="00FA50B8">
        <w:t xml:space="preserve">the collection is required </w:t>
      </w:r>
      <w:r>
        <w:t xml:space="preserve">or authorised </w:t>
      </w:r>
      <w:r w:rsidRPr="00FA50B8">
        <w:t>under law</w:t>
      </w:r>
      <w:r>
        <w:t>, including the DSS Act</w:t>
      </w:r>
    </w:p>
    <w:p w14:paraId="1DA78E61" w14:textId="74E2947E" w:rsidR="00F534FC" w:rsidRPr="00FA50B8" w:rsidRDefault="00F534FC" w:rsidP="00F534FC">
      <w:pPr>
        <w:pStyle w:val="VDWCbullet1"/>
      </w:pPr>
      <w:r w:rsidRPr="00FA50B8">
        <w:t>the collection is necessary to prevent or lessen a serious threat to the life or health of any individual, where the individual whom the information concerns is physically or legally incapable of giving consent to the collection or physically cannot communicate consent to the collection or</w:t>
      </w:r>
    </w:p>
    <w:p w14:paraId="400DEC6A" w14:textId="274A644E" w:rsidR="00F534FC" w:rsidRDefault="00F534FC" w:rsidP="00F534FC">
      <w:pPr>
        <w:pStyle w:val="VDWCbullet1"/>
      </w:pPr>
      <w:r w:rsidRPr="00FA50B8">
        <w:t>the collection is necessary for the establishment, exercise or defence of a legal or equitable claim.</w:t>
      </w:r>
    </w:p>
    <w:p w14:paraId="76187426" w14:textId="004BCCE0" w:rsidR="005F270A" w:rsidRPr="005F270A" w:rsidRDefault="005F270A" w:rsidP="00D87000">
      <w:pPr>
        <w:pStyle w:val="Heading2"/>
      </w:pPr>
      <w:r>
        <w:t>Types of information collected by the Commission</w:t>
      </w:r>
      <w:r w:rsidR="4F12EBAA">
        <w:t xml:space="preserve"> and the Board</w:t>
      </w:r>
    </w:p>
    <w:p w14:paraId="232CD6C2" w14:textId="5CA55925" w:rsidR="005F270A" w:rsidRDefault="005F270A" w:rsidP="00D87000">
      <w:pPr>
        <w:pStyle w:val="VDWCbody"/>
      </w:pPr>
      <w:r>
        <w:t xml:space="preserve">The types of personal or health information the Commission </w:t>
      </w:r>
      <w:r w:rsidR="139A351E">
        <w:t xml:space="preserve">or the Board </w:t>
      </w:r>
      <w:r>
        <w:t xml:space="preserve">collect depends on the nature of the contact with the Commission </w:t>
      </w:r>
      <w:r w:rsidR="201F6760">
        <w:t xml:space="preserve">or the Board </w:t>
      </w:r>
      <w:r>
        <w:t xml:space="preserve">and the relevant statutory function being performed. </w:t>
      </w:r>
    </w:p>
    <w:p w14:paraId="0A379B2F" w14:textId="36951D5F" w:rsidR="005F270A" w:rsidRDefault="005F270A" w:rsidP="00D87000">
      <w:pPr>
        <w:pStyle w:val="VDWCbody"/>
      </w:pPr>
      <w:r>
        <w:t xml:space="preserve">Personal information collected by the Commission </w:t>
      </w:r>
      <w:r w:rsidR="7746D927">
        <w:t xml:space="preserve">or the Board </w:t>
      </w:r>
      <w:r>
        <w:t xml:space="preserve">may include (but is not limited to): </w:t>
      </w:r>
    </w:p>
    <w:p w14:paraId="12491139" w14:textId="33679BB6" w:rsidR="005F270A" w:rsidRDefault="005F270A" w:rsidP="00D87000">
      <w:pPr>
        <w:pStyle w:val="VDWCbullet1"/>
      </w:pPr>
      <w:r>
        <w:t>name, address and contact details</w:t>
      </w:r>
    </w:p>
    <w:p w14:paraId="1826858F" w14:textId="28CD6B5D" w:rsidR="005F270A" w:rsidRDefault="005F270A" w:rsidP="00D87000">
      <w:pPr>
        <w:pStyle w:val="VDWCbullet1"/>
      </w:pPr>
      <w:r>
        <w:t>date of birth, sex</w:t>
      </w:r>
    </w:p>
    <w:p w14:paraId="18DE8E3A" w14:textId="77777777" w:rsidR="005F270A" w:rsidRDefault="005F270A" w:rsidP="00D87000">
      <w:pPr>
        <w:pStyle w:val="VDWCbullet1"/>
      </w:pPr>
      <w:r>
        <w:t>where relevant to an individual’s practice or registration as a disability worker or disability student:</w:t>
      </w:r>
    </w:p>
    <w:p w14:paraId="2D03014B" w14:textId="684A71A2" w:rsidR="005F270A" w:rsidRDefault="005F270A" w:rsidP="00E2441C">
      <w:pPr>
        <w:pStyle w:val="VDWCbullet2"/>
      </w:pPr>
      <w:r>
        <w:t>proof of identity, including relevant government records or identifiers (such as birth certificate, driver licence or Medicare card)</w:t>
      </w:r>
    </w:p>
    <w:p w14:paraId="675552E4" w14:textId="6EA2B17C" w:rsidR="005F270A" w:rsidRDefault="005F270A" w:rsidP="00E2441C">
      <w:pPr>
        <w:pStyle w:val="VDWCbullet2"/>
      </w:pPr>
      <w:r>
        <w:t>details about study, qualifications or professional experience</w:t>
      </w:r>
    </w:p>
    <w:p w14:paraId="4F59DAF4" w14:textId="727FC4BA" w:rsidR="005F270A" w:rsidRDefault="005F270A" w:rsidP="00E2441C">
      <w:pPr>
        <w:pStyle w:val="VDWCbullet2"/>
      </w:pPr>
      <w:r>
        <w:t>employment details</w:t>
      </w:r>
    </w:p>
    <w:p w14:paraId="4531B295" w14:textId="2AAAF5F4" w:rsidR="005F270A" w:rsidRDefault="005F270A" w:rsidP="00E2441C">
      <w:pPr>
        <w:pStyle w:val="VDWCbullet2"/>
      </w:pPr>
      <w:r>
        <w:t>insurance arrangements</w:t>
      </w:r>
    </w:p>
    <w:p w14:paraId="1E9CE635" w14:textId="7BAA5825" w:rsidR="005F270A" w:rsidRDefault="005F270A" w:rsidP="00E2441C">
      <w:pPr>
        <w:pStyle w:val="VDWCbullet2"/>
      </w:pPr>
      <w:r>
        <w:t>information about the individual’s mental or physical health</w:t>
      </w:r>
    </w:p>
    <w:p w14:paraId="04383E33" w14:textId="510480B9" w:rsidR="005F270A" w:rsidRDefault="005F270A" w:rsidP="00E2441C">
      <w:pPr>
        <w:pStyle w:val="VDWCbullet2"/>
      </w:pPr>
      <w:r>
        <w:t>criminal history</w:t>
      </w:r>
    </w:p>
    <w:p w14:paraId="7CB6CDD1" w14:textId="34CB07A8" w:rsidR="005F270A" w:rsidRDefault="005F270A" w:rsidP="00E2441C">
      <w:pPr>
        <w:pStyle w:val="VDWCbullet2"/>
      </w:pPr>
      <w:r>
        <w:t>details of any current or previous suspension or cancellation of registration or prohibitions relevant to providing a disability service</w:t>
      </w:r>
    </w:p>
    <w:p w14:paraId="0C02B9F9" w14:textId="6BF198B0" w:rsidR="005F270A" w:rsidRDefault="005F270A" w:rsidP="00E2441C">
      <w:pPr>
        <w:pStyle w:val="VDWCbullet2"/>
      </w:pPr>
      <w:r>
        <w:t>details of conduct that is notified to the Commission or is the subject of a complaint under the Scheme</w:t>
      </w:r>
    </w:p>
    <w:p w14:paraId="5FA5406D" w14:textId="2E7B7DEB" w:rsidR="005F270A" w:rsidRDefault="005F270A" w:rsidP="00E2441C">
      <w:pPr>
        <w:pStyle w:val="VDWCbullet2"/>
      </w:pPr>
      <w:r>
        <w:t>details of a health assessment or performance assessment undertaken in relation to a disability worker or disability student in accordance with the Scheme</w:t>
      </w:r>
    </w:p>
    <w:p w14:paraId="61A56D90" w14:textId="529A5C17" w:rsidR="005F270A" w:rsidRDefault="005F270A" w:rsidP="00E2441C">
      <w:pPr>
        <w:pStyle w:val="VDWCbullet2"/>
      </w:pPr>
      <w:r>
        <w:t>credit card or other banking information (to process registration application fees)</w:t>
      </w:r>
    </w:p>
    <w:p w14:paraId="22691098" w14:textId="1BCC457D" w:rsidR="005F270A" w:rsidRDefault="005F270A" w:rsidP="00E2441C">
      <w:pPr>
        <w:pStyle w:val="VDWCbullet1"/>
      </w:pPr>
      <w:r>
        <w:lastRenderedPageBreak/>
        <w:t>where disability services provided to a particular individual are relevant to a complaint, statutory notification or other matter that is relevant to the activities of the</w:t>
      </w:r>
      <w:r w:rsidR="0068033A">
        <w:t xml:space="preserve"> Commission or the</w:t>
      </w:r>
      <w:r>
        <w:t xml:space="preserve"> Board:</w:t>
      </w:r>
    </w:p>
    <w:p w14:paraId="33AE648C" w14:textId="06CBAF48" w:rsidR="005F270A" w:rsidRDefault="005F270A" w:rsidP="00E2441C">
      <w:pPr>
        <w:pStyle w:val="VDWCbullet2"/>
      </w:pPr>
      <w:r>
        <w:t>information about the individual’s disability or health and</w:t>
      </w:r>
    </w:p>
    <w:p w14:paraId="445413B8" w14:textId="77777777" w:rsidR="005F270A" w:rsidRDefault="005F270A" w:rsidP="00E2441C">
      <w:pPr>
        <w:pStyle w:val="VDWCbullet2"/>
      </w:pPr>
      <w:r>
        <w:t xml:space="preserve">information about the disability services sought or received by the individual. </w:t>
      </w:r>
    </w:p>
    <w:p w14:paraId="61525003" w14:textId="07D2CC7C" w:rsidR="007F540E" w:rsidRDefault="005B7427" w:rsidP="007F540E">
      <w:pPr>
        <w:pStyle w:val="Heading1"/>
      </w:pPr>
      <w:r w:rsidRPr="005B7427">
        <w:t>Use and disclosure</w:t>
      </w:r>
    </w:p>
    <w:p w14:paraId="6EF30C04" w14:textId="7B410446" w:rsidR="003E410A" w:rsidRDefault="003E410A" w:rsidP="003E410A">
      <w:pPr>
        <w:pStyle w:val="VDWCbody"/>
      </w:pPr>
      <w:r>
        <w:t xml:space="preserve">The Commission </w:t>
      </w:r>
      <w:r w:rsidR="0B7E9D03">
        <w:t xml:space="preserve">and the Board </w:t>
      </w:r>
      <w:r>
        <w:t>use</w:t>
      </w:r>
      <w:r w:rsidR="0068033A">
        <w:t>s</w:t>
      </w:r>
      <w:r>
        <w:t xml:space="preserve"> and disclose</w:t>
      </w:r>
      <w:r w:rsidR="0068033A">
        <w:t>s</w:t>
      </w:r>
      <w:r>
        <w:t xml:space="preserve"> personal (including sensitive information) and health information for:</w:t>
      </w:r>
    </w:p>
    <w:p w14:paraId="7D20EAF0" w14:textId="4F10173A" w:rsidR="003E410A" w:rsidRDefault="003E410A" w:rsidP="003E410A">
      <w:pPr>
        <w:pStyle w:val="VDWCbullet1"/>
      </w:pPr>
      <w:r w:rsidRPr="00D652C4">
        <w:t xml:space="preserve">the primary purpose </w:t>
      </w:r>
      <w:r>
        <w:t xml:space="preserve">for which it was collected </w:t>
      </w:r>
      <w:r w:rsidRPr="00D652C4">
        <w:t xml:space="preserve">or </w:t>
      </w:r>
    </w:p>
    <w:p w14:paraId="72E1F232" w14:textId="3757DD25" w:rsidR="003E410A" w:rsidRDefault="003E410A" w:rsidP="003E410A">
      <w:pPr>
        <w:pStyle w:val="VDWCbullet1"/>
      </w:pPr>
      <w:r w:rsidRPr="00D652C4">
        <w:t xml:space="preserve">a purpose related to that </w:t>
      </w:r>
      <w:r>
        <w:t xml:space="preserve">purpose </w:t>
      </w:r>
      <w:r w:rsidRPr="00D652C4">
        <w:t>(secondary purpose)</w:t>
      </w:r>
      <w:r>
        <w:t xml:space="preserve"> where the legislative requirements for using or disclosing for a secondary purpose are met</w:t>
      </w:r>
      <w:r w:rsidRPr="00D652C4">
        <w:t>.</w:t>
      </w:r>
      <w:r w:rsidRPr="00D16ADA" w:rsidDel="00D16ADA">
        <w:t xml:space="preserve"> </w:t>
      </w:r>
    </w:p>
    <w:p w14:paraId="61154F7D" w14:textId="188B92E5" w:rsidR="003E410A" w:rsidRDefault="003E410A" w:rsidP="003E410A">
      <w:pPr>
        <w:pStyle w:val="VDWCbody"/>
      </w:pPr>
      <w:r>
        <w:t xml:space="preserve">The Commission </w:t>
      </w:r>
      <w:r w:rsidR="0DCD77C5">
        <w:t xml:space="preserve">or the Board </w:t>
      </w:r>
      <w:r>
        <w:t>may use or disclose personal (including sensitive information) or health information when:</w:t>
      </w:r>
    </w:p>
    <w:p w14:paraId="09975AD6" w14:textId="53307823" w:rsidR="003E410A" w:rsidRPr="00D652C4" w:rsidRDefault="003E410A" w:rsidP="003E410A">
      <w:pPr>
        <w:pStyle w:val="VDWCbullet1"/>
      </w:pPr>
      <w:r>
        <w:t>the secondary purpose</w:t>
      </w:r>
      <w:r w:rsidRPr="00D652C4">
        <w:t xml:space="preserve"> relates to the primary purpose of collection </w:t>
      </w:r>
      <w:r>
        <w:t xml:space="preserve">(or directly relates to the primary purpose in the case of sensitive or heath information) </w:t>
      </w:r>
      <w:r w:rsidRPr="00D652C4">
        <w:t xml:space="preserve">and an individual would reasonably expect </w:t>
      </w:r>
      <w:r>
        <w:t>the Commission</w:t>
      </w:r>
      <w:r w:rsidRPr="00D652C4">
        <w:t xml:space="preserve"> to use or disclose it in this way</w:t>
      </w:r>
    </w:p>
    <w:p w14:paraId="0E8470DA" w14:textId="2EB552C0" w:rsidR="003E410A" w:rsidRPr="00D652C4" w:rsidRDefault="003E410A" w:rsidP="003E410A">
      <w:pPr>
        <w:pStyle w:val="VDWCbullet1"/>
      </w:pPr>
      <w:r w:rsidRPr="00D652C4">
        <w:t xml:space="preserve">the individual to whom the information </w:t>
      </w:r>
      <w:r>
        <w:t xml:space="preserve">relates </w:t>
      </w:r>
      <w:r w:rsidRPr="00D652C4">
        <w:t>has given</w:t>
      </w:r>
      <w:r>
        <w:t xml:space="preserve"> consent for the use or disclosure or</w:t>
      </w:r>
    </w:p>
    <w:p w14:paraId="09EA1C03" w14:textId="44C80848" w:rsidR="003E410A" w:rsidRPr="00D652C4" w:rsidRDefault="003E410A" w:rsidP="003E410A">
      <w:pPr>
        <w:pStyle w:val="VDWCbullet1"/>
      </w:pPr>
      <w:r>
        <w:t>the Commission</w:t>
      </w:r>
      <w:r w:rsidRPr="00D652C4">
        <w:t xml:space="preserve"> is </w:t>
      </w:r>
      <w:r>
        <w:t xml:space="preserve">required, </w:t>
      </w:r>
      <w:r w:rsidRPr="00D652C4">
        <w:t xml:space="preserve">authorised </w:t>
      </w:r>
      <w:r>
        <w:t xml:space="preserve">or permitted by or under law </w:t>
      </w:r>
      <w:r w:rsidRPr="00D652C4">
        <w:t xml:space="preserve">to use or disclose the information. </w:t>
      </w:r>
    </w:p>
    <w:p w14:paraId="75415722" w14:textId="0B54DCCA" w:rsidR="003E410A" w:rsidRPr="003E410A" w:rsidRDefault="003E410A" w:rsidP="003E410A">
      <w:pPr>
        <w:pStyle w:val="VDWCbody"/>
      </w:pPr>
      <w:r>
        <w:t>Th</w:t>
      </w:r>
      <w:r w:rsidR="00461AA4">
        <w:t>e</w:t>
      </w:r>
      <w:r>
        <w:t xml:space="preserve"> Commission </w:t>
      </w:r>
      <w:r w:rsidR="70F6E5E8">
        <w:t xml:space="preserve">and the Board </w:t>
      </w:r>
      <w:r>
        <w:t>collect, use, hold and disclose personal and health information for a range of purposes, including, but not limited to:</w:t>
      </w:r>
    </w:p>
    <w:p w14:paraId="66B8AE75" w14:textId="29E52592" w:rsidR="003E410A" w:rsidRDefault="003E410A" w:rsidP="003E410A">
      <w:pPr>
        <w:pStyle w:val="VDWCbullet1"/>
      </w:pPr>
      <w:r>
        <w:t>providing a mechanism through which complaints in relation to disability workers (both registered and unregistered) and registered disability students may be investigated and dealt with</w:t>
      </w:r>
      <w:r w:rsidR="00690B8D">
        <w:t xml:space="preserve"> (which may include referral of complaints to other entities)</w:t>
      </w:r>
    </w:p>
    <w:p w14:paraId="5609A920" w14:textId="6F794DC2" w:rsidR="003E410A" w:rsidRDefault="003E410A" w:rsidP="003E410A">
      <w:pPr>
        <w:pStyle w:val="VDWCbullet1"/>
      </w:pPr>
      <w:r>
        <w:t>receiving and dealing with certain mandatory notifications about disability workers and registered disability students</w:t>
      </w:r>
    </w:p>
    <w:p w14:paraId="4BAA1CAC" w14:textId="027841FD" w:rsidR="003E410A" w:rsidRDefault="007B384C" w:rsidP="003E410A">
      <w:pPr>
        <w:pStyle w:val="VDWCbullet1"/>
      </w:pPr>
      <w:r>
        <w:t xml:space="preserve">assisting in the </w:t>
      </w:r>
      <w:r w:rsidR="003E410A">
        <w:t>regulation of registered and unregistered disability workers and disability students</w:t>
      </w:r>
    </w:p>
    <w:p w14:paraId="581AC97A" w14:textId="2AAB6775" w:rsidR="003E410A" w:rsidRDefault="007B384C" w:rsidP="003E410A">
      <w:pPr>
        <w:pStyle w:val="VDWCbullet1"/>
      </w:pPr>
      <w:r>
        <w:t xml:space="preserve">supporting the Board’s </w:t>
      </w:r>
      <w:r w:rsidR="003E410A">
        <w:t>referral of matters to VCAT</w:t>
      </w:r>
    </w:p>
    <w:p w14:paraId="16B022BE" w14:textId="4B0D6DD3" w:rsidR="003E410A" w:rsidRDefault="003E410A" w:rsidP="003E410A">
      <w:pPr>
        <w:pStyle w:val="VDWCbullet1"/>
      </w:pPr>
      <w:r>
        <w:t>maintenance of a public register of all persons in relation to whom an Interim Prohibition Order or Prohibition Order has been made</w:t>
      </w:r>
    </w:p>
    <w:p w14:paraId="7E318931" w14:textId="5D3B0BCC" w:rsidR="003E410A" w:rsidRDefault="003E410A" w:rsidP="003E410A">
      <w:pPr>
        <w:pStyle w:val="VDWCbullet1"/>
      </w:pPr>
      <w:r>
        <w:t>maintenance of a record of any decisions or determinations made by panels established by the Board, or relevant decisions or determinations made by VCAT</w:t>
      </w:r>
    </w:p>
    <w:p w14:paraId="566A8B96" w14:textId="4FFE0D93" w:rsidR="003E410A" w:rsidRDefault="00F95770" w:rsidP="00985629">
      <w:pPr>
        <w:pStyle w:val="VDWCbullet1"/>
      </w:pPr>
      <w:r>
        <w:t xml:space="preserve">to assist the Board, </w:t>
      </w:r>
      <w:r w:rsidR="003E410A">
        <w:t>maintenance of a public register of registered disability workers and disability workers whose registration has been cancelled</w:t>
      </w:r>
      <w:r>
        <w:t xml:space="preserve">, and </w:t>
      </w:r>
      <w:r w:rsidR="003E410A">
        <w:t>maintenance of a private register of registered disability students</w:t>
      </w:r>
      <w:r w:rsidR="007B384C">
        <w:t xml:space="preserve"> </w:t>
      </w:r>
      <w:r w:rsidR="003E410A">
        <w:t>and</w:t>
      </w:r>
    </w:p>
    <w:p w14:paraId="5079E324" w14:textId="77777777" w:rsidR="003E410A" w:rsidRDefault="003E410A" w:rsidP="003E410A">
      <w:pPr>
        <w:pStyle w:val="VDWCbullet1"/>
      </w:pPr>
      <w:r>
        <w:t>compilation and analysis of data pursuant to the statutory function of the Board to monitor, identify and advise the Minister about trends in relation to complaints and notifications, and other related matters.</w:t>
      </w:r>
    </w:p>
    <w:p w14:paraId="4685448A" w14:textId="386D93A4" w:rsidR="00347B66" w:rsidRDefault="00347B66" w:rsidP="003E410A">
      <w:pPr>
        <w:pStyle w:val="VDWCbody"/>
        <w:rPr>
          <w:color w:val="FF0000"/>
        </w:rPr>
      </w:pPr>
    </w:p>
    <w:p w14:paraId="453C696E" w14:textId="263133A7" w:rsidR="009F35F7" w:rsidRPr="009F35F7" w:rsidRDefault="009F35F7" w:rsidP="009F35F7">
      <w:pPr>
        <w:pStyle w:val="Heading1"/>
      </w:pPr>
      <w:r w:rsidRPr="009F35F7">
        <w:t xml:space="preserve">Information </w:t>
      </w:r>
      <w:r w:rsidR="00161C73">
        <w:t>s</w:t>
      </w:r>
      <w:r w:rsidRPr="009F35F7">
        <w:t>haring</w:t>
      </w:r>
    </w:p>
    <w:p w14:paraId="39A58D3C" w14:textId="3F4468B0" w:rsidR="009F35F7" w:rsidRDefault="009F35F7" w:rsidP="009F35F7">
      <w:pPr>
        <w:pStyle w:val="VDWCbody"/>
      </w:pPr>
      <w:r>
        <w:t xml:space="preserve">While they are separate entities under the DSS Act the </w:t>
      </w:r>
      <w:r w:rsidR="00773B37">
        <w:t xml:space="preserve">Commission </w:t>
      </w:r>
      <w:r>
        <w:t xml:space="preserve">and the </w:t>
      </w:r>
      <w:r w:rsidR="00773B37">
        <w:t xml:space="preserve">Board </w:t>
      </w:r>
      <w:r>
        <w:t xml:space="preserve">work together to administer the Scheme and share information with each other in order to perform their functions. </w:t>
      </w:r>
    </w:p>
    <w:p w14:paraId="1F27FC55" w14:textId="17CCB578" w:rsidR="009F35F7" w:rsidRDefault="009F35F7" w:rsidP="009F35F7">
      <w:pPr>
        <w:pStyle w:val="VDWCbody"/>
      </w:pPr>
      <w:r>
        <w:t xml:space="preserve">The </w:t>
      </w:r>
      <w:r w:rsidR="00773B37">
        <w:t xml:space="preserve">Commission </w:t>
      </w:r>
      <w:r w:rsidR="58A5B0B3">
        <w:t xml:space="preserve">and the Board </w:t>
      </w:r>
      <w:r>
        <w:t xml:space="preserve">may also share information with other entities as permitted or required by law, for example: </w:t>
      </w:r>
    </w:p>
    <w:p w14:paraId="5C0811EF" w14:textId="48975885" w:rsidR="009F35F7" w:rsidRDefault="009F35F7" w:rsidP="009F35F7">
      <w:pPr>
        <w:pStyle w:val="VDWCbullet1"/>
      </w:pPr>
      <w:r>
        <w:t xml:space="preserve">a prescribed Commonwealth, State or Territory agency with functions relating to </w:t>
      </w:r>
      <w:r w:rsidRPr="00EC6F3A">
        <w:t>the identification of health practitioners or disability workers for information management and communication purposes</w:t>
      </w:r>
    </w:p>
    <w:p w14:paraId="3CA4DB7C" w14:textId="712BD1C3" w:rsidR="009F35F7" w:rsidRDefault="009F35F7" w:rsidP="009F35F7">
      <w:pPr>
        <w:pStyle w:val="VDWCbullet1"/>
      </w:pPr>
      <w:r>
        <w:lastRenderedPageBreak/>
        <w:t>entities related to the NDIS, responsible for worker screening under an Act, or Commonwealth, State or Territory agencies with functions relating to the provision of disability services</w:t>
      </w:r>
    </w:p>
    <w:p w14:paraId="1B84FFD6" w14:textId="391B11D0" w:rsidR="009F35F7" w:rsidRDefault="009F35F7" w:rsidP="009F35F7">
      <w:pPr>
        <w:pStyle w:val="VDWCbullet1"/>
      </w:pPr>
      <w:r>
        <w:t>other Commonwealth, State or Territory entities may be provided information about certain risks to health or safety posed by a disability worker or disability student</w:t>
      </w:r>
    </w:p>
    <w:p w14:paraId="04071BF3" w14:textId="77777777" w:rsidR="008405F1" w:rsidRDefault="009F35F7" w:rsidP="009F35F7">
      <w:pPr>
        <w:pStyle w:val="VDWCbullet1"/>
      </w:pPr>
      <w:r>
        <w:t>an entity that regulates disability workers in a jurisdiction other than Victoria, if necessary for that entity to exercise its functions</w:t>
      </w:r>
    </w:p>
    <w:p w14:paraId="58577BC6" w14:textId="535791D6" w:rsidR="009F35F7" w:rsidRPr="00D652C4" w:rsidRDefault="0B6B87AD" w:rsidP="008405F1">
      <w:pPr>
        <w:pStyle w:val="VDWCbullet1"/>
        <w:rPr>
          <w:rFonts w:eastAsia="Arial" w:cs="Arial"/>
        </w:rPr>
      </w:pPr>
      <w:r w:rsidRPr="4CA3D3E6">
        <w:rPr>
          <w:lang w:eastAsia="en-AU"/>
        </w:rPr>
        <w:t>o</w:t>
      </w:r>
      <w:r w:rsidR="008405F1" w:rsidRPr="4CA3D3E6">
        <w:rPr>
          <w:lang w:eastAsia="en-AU"/>
        </w:rPr>
        <w:t>ther Information Sharing Entities prescribed under the Family Violence Information Sharing Scheme or Child Information Sharing Scheme</w:t>
      </w:r>
      <w:r w:rsidR="008405F1">
        <w:t>.</w:t>
      </w:r>
      <w:r w:rsidR="1C5F8A87">
        <w:t xml:space="preserve"> under the </w:t>
      </w:r>
      <w:r w:rsidR="1C5F8A87" w:rsidRPr="5E539D02">
        <w:rPr>
          <w:i/>
          <w:iCs/>
        </w:rPr>
        <w:t>Family Violence Protection Act 2008</w:t>
      </w:r>
      <w:r w:rsidR="1C5F8A87">
        <w:t xml:space="preserve"> and the </w:t>
      </w:r>
      <w:r w:rsidR="1C5F8A87" w:rsidRPr="5E539D02">
        <w:rPr>
          <w:i/>
          <w:iCs/>
        </w:rPr>
        <w:t>Child Wellbeing and Safety Act 2005</w:t>
      </w:r>
      <w:r w:rsidR="008405F1">
        <w:t>.</w:t>
      </w:r>
    </w:p>
    <w:p w14:paraId="2F343C43" w14:textId="0A80A662" w:rsidR="009F35F7" w:rsidRDefault="009F35F7" w:rsidP="006533FC">
      <w:pPr>
        <w:pStyle w:val="VDWCbody"/>
      </w:pPr>
      <w:r>
        <w:t xml:space="preserve">The Commission </w:t>
      </w:r>
      <w:r w:rsidR="5021064B">
        <w:t xml:space="preserve">and the Board </w:t>
      </w:r>
      <w:r>
        <w:t xml:space="preserve">may have reason to disclose personal information and health information to the Department of Health and </w:t>
      </w:r>
      <w:r w:rsidR="1902FB2B">
        <w:t>Department of Families, Fairness and Housing</w:t>
      </w:r>
      <w:r>
        <w:t xml:space="preserve"> in order to facilitate the</w:t>
      </w:r>
      <w:r w:rsidR="3093BC91">
        <w:t>se</w:t>
      </w:r>
      <w:r>
        <w:t xml:space="preserve"> Departments assist</w:t>
      </w:r>
      <w:r w:rsidR="6BC58CB1">
        <w:t>ing</w:t>
      </w:r>
      <w:r>
        <w:t xml:space="preserve"> the Commission in the exercise of its functions. The</w:t>
      </w:r>
      <w:r w:rsidR="4AD5338F">
        <w:t>se</w:t>
      </w:r>
      <w:r>
        <w:t xml:space="preserve"> Department</w:t>
      </w:r>
      <w:r w:rsidR="6931F5A3">
        <w:t>s</w:t>
      </w:r>
      <w:r>
        <w:t xml:space="preserve"> </w:t>
      </w:r>
      <w:r w:rsidR="30D8247A">
        <w:t>are</w:t>
      </w:r>
      <w:r>
        <w:t xml:space="preserve"> also bound by the requirements of the PDP Act and </w:t>
      </w:r>
      <w:r w:rsidR="3363E717">
        <w:t>are</w:t>
      </w:r>
      <w:r>
        <w:t xml:space="preserve"> prohibited from using this information for any purpose other than the primary purpose for which it was collected or a related secondary purpose. The privacy policy </w:t>
      </w:r>
      <w:r w:rsidR="4C7FFC33">
        <w:t xml:space="preserve">for these Departments </w:t>
      </w:r>
      <w:r>
        <w:t>is available at</w:t>
      </w:r>
      <w:r w:rsidR="190D8619">
        <w:t xml:space="preserve"> </w:t>
      </w:r>
      <w:hyperlink r:id="rId15" w:history="1">
        <w:r w:rsidR="190D8619" w:rsidRPr="5E539D02">
          <w:rPr>
            <w:rStyle w:val="Hyperlink"/>
          </w:rPr>
          <w:t>https://www.vic.gov.au/privacy-vicgovau</w:t>
        </w:r>
      </w:hyperlink>
      <w:r>
        <w:t>.</w:t>
      </w:r>
    </w:p>
    <w:p w14:paraId="01F8AE4F" w14:textId="5E8728A9" w:rsidR="009F35F7" w:rsidRPr="006533FC" w:rsidRDefault="009F35F7" w:rsidP="006533FC">
      <w:pPr>
        <w:pStyle w:val="Heading1"/>
      </w:pPr>
      <w:r w:rsidRPr="006533FC">
        <w:t xml:space="preserve">Data </w:t>
      </w:r>
      <w:r w:rsidR="00677F8E">
        <w:t>q</w:t>
      </w:r>
      <w:r w:rsidRPr="006533FC">
        <w:t>uality</w:t>
      </w:r>
    </w:p>
    <w:p w14:paraId="3C43C99E" w14:textId="1D4FA4CA" w:rsidR="009F35F7" w:rsidRDefault="009F35F7" w:rsidP="006533FC">
      <w:pPr>
        <w:pStyle w:val="VDWCbody"/>
      </w:pPr>
      <w:r>
        <w:t xml:space="preserve">The Commission </w:t>
      </w:r>
      <w:r w:rsidR="10E3FF81">
        <w:t xml:space="preserve">and the Board </w:t>
      </w:r>
      <w:r>
        <w:t xml:space="preserve">take reasonable steps to ensure that any personal and health information they collect, use and disclose is accurate, complete and up to date, and having regard to the purpose for which the information is to be used, that it is relevant to the Commission’s statutory functions and activities. </w:t>
      </w:r>
    </w:p>
    <w:p w14:paraId="0F9A7FBB" w14:textId="77777777" w:rsidR="009F35F7" w:rsidRPr="006533FC" w:rsidRDefault="009F35F7" w:rsidP="006533FC">
      <w:pPr>
        <w:pStyle w:val="Heading1"/>
      </w:pPr>
      <w:r w:rsidRPr="006533FC">
        <w:t>Storage and information security</w:t>
      </w:r>
    </w:p>
    <w:p w14:paraId="3522DE6F" w14:textId="07C5A6B8" w:rsidR="009F35F7" w:rsidRPr="006533FC" w:rsidRDefault="009F35F7" w:rsidP="006533FC">
      <w:pPr>
        <w:pStyle w:val="VDWCbody"/>
      </w:pPr>
      <w:r>
        <w:t xml:space="preserve">The Commission </w:t>
      </w:r>
      <w:r w:rsidR="2A2AEB44">
        <w:t xml:space="preserve">and the Board </w:t>
      </w:r>
      <w:r w:rsidR="005E48C9">
        <w:t>ha</w:t>
      </w:r>
      <w:r w:rsidR="667EC18E">
        <w:t>ve</w:t>
      </w:r>
      <w:r w:rsidR="005E48C9">
        <w:t xml:space="preserve"> </w:t>
      </w:r>
      <w:r>
        <w:t xml:space="preserve">security measures designed to protect personal and health information from misuse, loss, unauthorised access, modification or disclosure. The Commission </w:t>
      </w:r>
      <w:r w:rsidR="52639B85">
        <w:t xml:space="preserve">and the Board </w:t>
      </w:r>
      <w:r>
        <w:t xml:space="preserve">will take reasonable steps to destroy or permanently de-identify personal information if it is no longer needed for any purpose in line with the </w:t>
      </w:r>
      <w:r w:rsidRPr="4CA3D3E6">
        <w:rPr>
          <w:i/>
          <w:iCs/>
        </w:rPr>
        <w:t>Public Records Act 1973</w:t>
      </w:r>
      <w:r>
        <w:t xml:space="preserve">. </w:t>
      </w:r>
    </w:p>
    <w:p w14:paraId="15BC1654" w14:textId="11D66A9D" w:rsidR="009F35F7" w:rsidRPr="006533FC" w:rsidRDefault="009F35F7" w:rsidP="006533FC">
      <w:pPr>
        <w:pStyle w:val="VDWCbody"/>
      </w:pPr>
      <w:r>
        <w:t xml:space="preserve">In relation to health information, the Commission </w:t>
      </w:r>
      <w:r w:rsidR="7C7F6CBF">
        <w:t xml:space="preserve">and the Board </w:t>
      </w:r>
      <w:r>
        <w:t>must take reasonable steps to destroy or permanently de-identify health information if it is no longer needed for the purpose for which it was collected or any other purpose authorised by the Health Records Act, the regulations made under the Health Records Act, or any other law.</w:t>
      </w:r>
    </w:p>
    <w:p w14:paraId="6BB14B5C" w14:textId="77777777" w:rsidR="009F35F7" w:rsidRPr="009D65D1" w:rsidRDefault="009F35F7" w:rsidP="009D65D1">
      <w:pPr>
        <w:pStyle w:val="Heading1"/>
      </w:pPr>
      <w:r w:rsidRPr="009D65D1">
        <w:t>Openness</w:t>
      </w:r>
    </w:p>
    <w:p w14:paraId="0BA50721" w14:textId="417E9D76" w:rsidR="009F35F7" w:rsidRPr="004261F0" w:rsidRDefault="009F35F7" w:rsidP="009D65D1">
      <w:pPr>
        <w:pStyle w:val="VDWCbody"/>
      </w:pPr>
      <w:r>
        <w:t xml:space="preserve">This policy sets out how the Commission </w:t>
      </w:r>
      <w:r w:rsidR="424363EC">
        <w:t xml:space="preserve">and the Board </w:t>
      </w:r>
      <w:r>
        <w:t xml:space="preserve">manage personal and health information. An individual may make a request to obtain further general information about how the Commission </w:t>
      </w:r>
      <w:r w:rsidR="0F2EFDCA">
        <w:t xml:space="preserve">and the Board </w:t>
      </w:r>
      <w:r>
        <w:t xml:space="preserve">manage personal and health information by </w:t>
      </w:r>
      <w:r w:rsidR="009D65D1">
        <w:t xml:space="preserve">contacting the Commission at </w:t>
      </w:r>
      <w:hyperlink r:id="rId16">
        <w:r w:rsidR="009D65D1" w:rsidRPr="4CA3D3E6">
          <w:rPr>
            <w:rStyle w:val="Hyperlink"/>
          </w:rPr>
          <w:t>info@vdwc.vic.gov.au</w:t>
        </w:r>
      </w:hyperlink>
      <w:r w:rsidR="009D65D1">
        <w:t xml:space="preserve"> or 1800 497 132</w:t>
      </w:r>
      <w:r>
        <w:t xml:space="preserve">. </w:t>
      </w:r>
    </w:p>
    <w:p w14:paraId="550F3675" w14:textId="77777777" w:rsidR="009F35F7" w:rsidRDefault="009F35F7" w:rsidP="009F35F7">
      <w:pPr>
        <w:pStyle w:val="Heading1"/>
      </w:pPr>
      <w:r>
        <w:t xml:space="preserve">Access and correction </w:t>
      </w:r>
    </w:p>
    <w:p w14:paraId="43A90C8E" w14:textId="77777777" w:rsidR="009F35F7" w:rsidRPr="00D652C4" w:rsidRDefault="009F35F7" w:rsidP="009D65D1">
      <w:pPr>
        <w:pStyle w:val="VDWCbody"/>
      </w:pPr>
      <w:r>
        <w:t>An individual may ask for access to their information or request a correction to their information by contacting the Commission using the details above.</w:t>
      </w:r>
    </w:p>
    <w:p w14:paraId="47538C8F" w14:textId="77777777" w:rsidR="009F35F7" w:rsidRDefault="009F35F7" w:rsidP="009D65D1">
      <w:pPr>
        <w:pStyle w:val="VDWCbody"/>
      </w:pPr>
      <w:r>
        <w:t xml:space="preserve">When contacted, the Commission will let the individual know whether it holds information about them and any further steps that that individual should take to obtain access to the information. </w:t>
      </w:r>
    </w:p>
    <w:p w14:paraId="6B443625" w14:textId="022FBBE8" w:rsidR="009F35F7" w:rsidRPr="009D65D1" w:rsidRDefault="009F35F7" w:rsidP="009D65D1">
      <w:pPr>
        <w:pStyle w:val="Heading1"/>
      </w:pPr>
      <w:r w:rsidRPr="009D65D1">
        <w:lastRenderedPageBreak/>
        <w:t xml:space="preserve">Unique </w:t>
      </w:r>
      <w:r w:rsidR="00677F8E">
        <w:t>i</w:t>
      </w:r>
      <w:r w:rsidRPr="009D65D1">
        <w:t>dentifiers</w:t>
      </w:r>
    </w:p>
    <w:p w14:paraId="32DE0E5F" w14:textId="77777777" w:rsidR="009F35F7" w:rsidRDefault="009F35F7" w:rsidP="009D65D1">
      <w:pPr>
        <w:pStyle w:val="VDWCbody"/>
      </w:pPr>
      <w:r>
        <w:t xml:space="preserve">A unique identifier is generally a number assigned to an individual by an organisation or agency in order to identify the individual for the purposes of the organisation’s or agency’s operations. </w:t>
      </w:r>
    </w:p>
    <w:p w14:paraId="0BDA1FC4" w14:textId="5950ABA5" w:rsidR="009F35F7" w:rsidRDefault="009F35F7" w:rsidP="009D65D1">
      <w:pPr>
        <w:pStyle w:val="VDWCbody"/>
      </w:pPr>
      <w:r>
        <w:t xml:space="preserve">The Commission </w:t>
      </w:r>
      <w:r w:rsidR="205928CC">
        <w:t xml:space="preserve">and the Board </w:t>
      </w:r>
      <w:r>
        <w:t>will only:</w:t>
      </w:r>
    </w:p>
    <w:p w14:paraId="4A016018" w14:textId="77777777" w:rsidR="009F35F7" w:rsidRDefault="009F35F7" w:rsidP="009D65D1">
      <w:pPr>
        <w:pStyle w:val="VDWCbullet1"/>
      </w:pPr>
      <w:r>
        <w:t>collect, use or disclose unique identifiers assigned by another organisation or agency:</w:t>
      </w:r>
    </w:p>
    <w:p w14:paraId="31D053E8" w14:textId="7C4864F5" w:rsidR="009F35F7" w:rsidRDefault="009F35F7" w:rsidP="009D65D1">
      <w:pPr>
        <w:pStyle w:val="VDWCbullet2"/>
      </w:pPr>
      <w:r>
        <w:t>as required by the DSS Act or any other law or</w:t>
      </w:r>
    </w:p>
    <w:p w14:paraId="202FC74C" w14:textId="0055F542" w:rsidR="009F35F7" w:rsidRDefault="009F35F7" w:rsidP="009D65D1">
      <w:pPr>
        <w:pStyle w:val="VDWCbullet2"/>
      </w:pPr>
      <w:r>
        <w:t>with the consent of the relevant individual and</w:t>
      </w:r>
    </w:p>
    <w:p w14:paraId="63FD642E" w14:textId="19624C09" w:rsidR="009F35F7" w:rsidRDefault="009F35F7" w:rsidP="009D65D1">
      <w:pPr>
        <w:pStyle w:val="VDWCbullet1"/>
      </w:pPr>
      <w:r>
        <w:t>adopt a unique identifier that has been issued by another organisation or agency if necessary to enable the Commission</w:t>
      </w:r>
      <w:r w:rsidR="00742CEC">
        <w:t xml:space="preserve"> or Board</w:t>
      </w:r>
      <w:r>
        <w:t xml:space="preserve"> to efficiently carry out its functions.</w:t>
      </w:r>
    </w:p>
    <w:p w14:paraId="0AF9340C" w14:textId="77777777" w:rsidR="009F35F7" w:rsidRPr="009D65D1" w:rsidRDefault="009F35F7" w:rsidP="009D65D1">
      <w:pPr>
        <w:pStyle w:val="Heading1"/>
      </w:pPr>
      <w:r w:rsidRPr="009D65D1">
        <w:t>Anonymity</w:t>
      </w:r>
    </w:p>
    <w:p w14:paraId="154E6317" w14:textId="43DD71C6" w:rsidR="009F35F7" w:rsidRDefault="009F35F7" w:rsidP="009D65D1">
      <w:pPr>
        <w:pStyle w:val="VDWCbody"/>
      </w:pPr>
      <w:r>
        <w:t>Where lawful and feasible, individuals may have the option of not identifying themselves when dealing with the Commission</w:t>
      </w:r>
      <w:r w:rsidR="1245C2F7">
        <w:t xml:space="preserve"> or the Board</w:t>
      </w:r>
      <w:r>
        <w:t xml:space="preserve">. </w:t>
      </w:r>
    </w:p>
    <w:p w14:paraId="7B3C1BB4" w14:textId="77777777" w:rsidR="009F35F7" w:rsidRPr="009D65D1" w:rsidRDefault="009F35F7" w:rsidP="009D65D1">
      <w:pPr>
        <w:pStyle w:val="Heading1"/>
      </w:pPr>
      <w:r w:rsidRPr="009D65D1">
        <w:t>Transborder data flows</w:t>
      </w:r>
    </w:p>
    <w:p w14:paraId="4BFFCAFE" w14:textId="7AB5AB3D" w:rsidR="009F35F7" w:rsidRDefault="009F35F7" w:rsidP="009D65D1">
      <w:pPr>
        <w:pStyle w:val="VDWCbody"/>
      </w:pPr>
      <w:r>
        <w:t xml:space="preserve">The Commission </w:t>
      </w:r>
      <w:r w:rsidR="43A2DC71">
        <w:t xml:space="preserve">and the Board </w:t>
      </w:r>
      <w:r>
        <w:t xml:space="preserve">adhere to the requirements of the PDP Act and the Health Records Act when transferring personal and health information outside of Victoria. </w:t>
      </w:r>
    </w:p>
    <w:p w14:paraId="2F1B3CD4" w14:textId="77777777" w:rsidR="009F35F7" w:rsidRDefault="009F35F7" w:rsidP="009D65D1">
      <w:pPr>
        <w:pStyle w:val="VDWCbody"/>
      </w:pPr>
      <w:r>
        <w:t>The only circumstances in which personal and health information may be transferred or stored outside of Victoria is when the transfer or storage meets one (or more) of the following criteria:</w:t>
      </w:r>
    </w:p>
    <w:p w14:paraId="42F96097" w14:textId="7783DC78" w:rsidR="009F35F7" w:rsidRPr="00B84722" w:rsidRDefault="009F35F7" w:rsidP="009D65D1">
      <w:pPr>
        <w:pStyle w:val="VDWCbullet1"/>
      </w:pPr>
      <w:r>
        <w:t xml:space="preserve">the Commission </w:t>
      </w:r>
      <w:r w:rsidR="5AF9651A">
        <w:t xml:space="preserve">or the Board </w:t>
      </w:r>
      <w:r>
        <w:t>reasonably believe</w:t>
      </w:r>
      <w:r w:rsidR="00742CEC">
        <w:t>s</w:t>
      </w:r>
      <w:r>
        <w:t xml:space="preserve"> that the recipient of the information is subject to a law, binding scheme or binding contract that provides substantially similar protection to the PDP Act or Health Records Act</w:t>
      </w:r>
    </w:p>
    <w:p w14:paraId="73FB56F2" w14:textId="5212A0B1" w:rsidR="009F35F7" w:rsidRPr="00D652C4" w:rsidRDefault="009F35F7" w:rsidP="009D65D1">
      <w:pPr>
        <w:pStyle w:val="VDWCbullet1"/>
      </w:pPr>
      <w:r w:rsidRPr="00D652C4">
        <w:t>the individual has provided consent</w:t>
      </w:r>
      <w:r>
        <w:t xml:space="preserve"> to the transfer or</w:t>
      </w:r>
    </w:p>
    <w:p w14:paraId="0C4376CE" w14:textId="77777777" w:rsidR="009F35F7" w:rsidRPr="00D652C4" w:rsidRDefault="009F35F7" w:rsidP="009D65D1">
      <w:pPr>
        <w:pStyle w:val="VDWCbullet1"/>
      </w:pPr>
      <w:r w:rsidRPr="00D652C4">
        <w:t xml:space="preserve">the transfer is </w:t>
      </w:r>
      <w:r>
        <w:t>required or authorised by law, including the express cross-jurisdictional disclosures that are required by the DSS Act.</w:t>
      </w:r>
    </w:p>
    <w:p w14:paraId="13317E1A" w14:textId="77777777" w:rsidR="009F35F7" w:rsidRPr="00817F76" w:rsidRDefault="009F35F7" w:rsidP="00817F76">
      <w:pPr>
        <w:pStyle w:val="Heading1"/>
      </w:pPr>
      <w:r w:rsidRPr="00817F76">
        <w:t>Making a complaint about a privacy incident (breach)</w:t>
      </w:r>
    </w:p>
    <w:p w14:paraId="6CBF66F0" w14:textId="4C6FB5F5" w:rsidR="009F35F7" w:rsidRPr="00015BE1" w:rsidRDefault="009F35F7" w:rsidP="00817F76">
      <w:pPr>
        <w:pStyle w:val="VDWCbody"/>
      </w:pPr>
      <w:r>
        <w:t>An individual may make a complaint about a potential privacy incident (breach) by contacting</w:t>
      </w:r>
      <w:r w:rsidR="007A3D3F">
        <w:t xml:space="preserve"> </w:t>
      </w:r>
      <w:hyperlink r:id="rId17">
        <w:r w:rsidR="00B15C0E" w:rsidRPr="4CA3D3E6">
          <w:rPr>
            <w:rStyle w:val="Hyperlink"/>
          </w:rPr>
          <w:t>info@vdwc.vic.gov.au</w:t>
        </w:r>
      </w:hyperlink>
      <w:r w:rsidR="007A3D3F">
        <w:t xml:space="preserve"> or 1800 497 132</w:t>
      </w:r>
      <w:r>
        <w:t>.</w:t>
      </w:r>
    </w:p>
    <w:p w14:paraId="05DCE792" w14:textId="4BDC87B9" w:rsidR="009F35F7" w:rsidRDefault="009F35F7" w:rsidP="00817F76">
      <w:pPr>
        <w:pStyle w:val="VDWCbody"/>
      </w:pPr>
      <w:r>
        <w:t xml:space="preserve">The Commission </w:t>
      </w:r>
      <w:r w:rsidR="14946048">
        <w:t xml:space="preserve">and the Board </w:t>
      </w:r>
      <w:r>
        <w:t>undertake to resolve privacy complaints and breaches in a timely and fair manner.</w:t>
      </w:r>
    </w:p>
    <w:p w14:paraId="06AC928D" w14:textId="77777777" w:rsidR="009F35F7" w:rsidRDefault="009F35F7" w:rsidP="00817F76">
      <w:pPr>
        <w:pStyle w:val="VDWCbody"/>
      </w:pPr>
      <w:r>
        <w:t>An individual may also make a privacy complaint to:</w:t>
      </w:r>
    </w:p>
    <w:p w14:paraId="257EDBC7" w14:textId="1CC22E21" w:rsidR="009F35F7" w:rsidRDefault="009F35F7" w:rsidP="00817F76">
      <w:pPr>
        <w:pStyle w:val="VDWCbullet1"/>
      </w:pPr>
      <w:r>
        <w:t xml:space="preserve">the Health Complaints Commissioner in relation to a complaint relating to health information: </w:t>
      </w:r>
      <w:r w:rsidRPr="003F25F1">
        <w:t>1300 582 113</w:t>
      </w:r>
      <w:r>
        <w:t xml:space="preserve"> or</w:t>
      </w:r>
    </w:p>
    <w:p w14:paraId="0EC22FBF" w14:textId="77777777" w:rsidR="009F35F7" w:rsidRPr="00906490" w:rsidRDefault="009F35F7" w:rsidP="00817F76">
      <w:pPr>
        <w:pStyle w:val="VDWCbullet1"/>
      </w:pPr>
      <w:r>
        <w:t xml:space="preserve">the Office of the Victorian Information Commissioner in relation to a </w:t>
      </w:r>
      <w:r w:rsidRPr="00191A59">
        <w:t>complaint</w:t>
      </w:r>
      <w:r>
        <w:t xml:space="preserve"> relating to personal or sensitive information:</w:t>
      </w:r>
      <w:r w:rsidRPr="003F25F1">
        <w:t>1300 666 444</w:t>
      </w:r>
      <w:r>
        <w:t xml:space="preserve">. </w:t>
      </w:r>
    </w:p>
    <w:bookmarkEnd w:id="0"/>
    <w:p w14:paraId="2438F724" w14:textId="22989705" w:rsidR="00FF24A5" w:rsidRDefault="00FF24A5" w:rsidP="00FF24A5">
      <w:pPr>
        <w:pStyle w:val="Heading1"/>
      </w:pPr>
      <w:r>
        <w:t>References/related documents</w:t>
      </w:r>
    </w:p>
    <w:p w14:paraId="52E64FB7" w14:textId="30BA035F" w:rsidR="007F540E" w:rsidRPr="007F540E" w:rsidRDefault="007F540E" w:rsidP="00D87170">
      <w:pPr>
        <w:pStyle w:val="Heading2"/>
      </w:pPr>
      <w:r>
        <w:t>Policies and guidelines</w:t>
      </w:r>
    </w:p>
    <w:p w14:paraId="3F32B98F" w14:textId="2747AFEC" w:rsidR="007F540E" w:rsidRDefault="00461AA4" w:rsidP="00D87170">
      <w:pPr>
        <w:pStyle w:val="VDWCbullet1"/>
        <w:rPr>
          <w:rFonts w:eastAsia="Arial" w:cs="Arial"/>
        </w:rPr>
      </w:pPr>
      <w:r>
        <w:t>VDWC Operations Manual</w:t>
      </w:r>
    </w:p>
    <w:p w14:paraId="36375F9A" w14:textId="57BA1314" w:rsidR="007F540E" w:rsidRDefault="386A7727" w:rsidP="00D87170">
      <w:pPr>
        <w:pStyle w:val="VDWCbullet1"/>
      </w:pPr>
      <w:r>
        <w:t>Freedom of Information Policy</w:t>
      </w:r>
    </w:p>
    <w:p w14:paraId="2385D05C" w14:textId="513FEB3B" w:rsidR="386A7727" w:rsidRDefault="386A7727" w:rsidP="2354B879">
      <w:pPr>
        <w:pStyle w:val="VDWCbullet1"/>
      </w:pPr>
      <w:r>
        <w:t>Informal Release of Information Policy</w:t>
      </w:r>
    </w:p>
    <w:p w14:paraId="33F98CE6" w14:textId="4875CA32" w:rsidR="6DD92352" w:rsidRDefault="6DD92352" w:rsidP="6A0AE52B">
      <w:pPr>
        <w:pStyle w:val="VDWCbullet1"/>
        <w:rPr>
          <w:rFonts w:eastAsia="Arial" w:cs="Arial"/>
        </w:rPr>
      </w:pPr>
      <w:r>
        <w:lastRenderedPageBreak/>
        <w:t>Disability Worker Registration Board of Victoria Confidentiality and Privacy policy</w:t>
      </w:r>
    </w:p>
    <w:p w14:paraId="7E58EB1F" w14:textId="779DCC72" w:rsidR="009E6528" w:rsidRDefault="00FF24A5" w:rsidP="009E6528">
      <w:pPr>
        <w:pStyle w:val="Heading2"/>
      </w:pPr>
      <w:r>
        <w:t>Compliance</w:t>
      </w:r>
    </w:p>
    <w:p w14:paraId="31EC0176" w14:textId="6BEB1F93" w:rsidR="009E6528" w:rsidRDefault="00FF24A5" w:rsidP="008C165F">
      <w:pPr>
        <w:pStyle w:val="VDWCbody"/>
      </w:pPr>
      <w:r>
        <w:t>This policy complies with all relevan</w:t>
      </w:r>
      <w:r w:rsidR="000B6B1E">
        <w:t>t</w:t>
      </w:r>
      <w:r>
        <w:t xml:space="preserve"> legislation</w:t>
      </w:r>
      <w:r w:rsidR="007F540E">
        <w:t xml:space="preserve"> and VPS policies, in particular</w:t>
      </w:r>
      <w:r w:rsidR="007A3D3F">
        <w:t>:</w:t>
      </w:r>
    </w:p>
    <w:p w14:paraId="51217470" w14:textId="66B6D003" w:rsidR="007A3D3F" w:rsidRPr="0013601C" w:rsidRDefault="007A3D3F" w:rsidP="007A3D3F">
      <w:pPr>
        <w:pStyle w:val="VDWCbullet1"/>
      </w:pPr>
      <w:r>
        <w:t>the DSS Act</w:t>
      </w:r>
    </w:p>
    <w:p w14:paraId="0B7CBAD7" w14:textId="0E56F74F" w:rsidR="007A3D3F" w:rsidRPr="0013601C" w:rsidRDefault="007A3D3F" w:rsidP="007A3D3F">
      <w:pPr>
        <w:pStyle w:val="VDWCbullet1"/>
      </w:pPr>
      <w:r w:rsidRPr="00BA3052">
        <w:t>the</w:t>
      </w:r>
      <w:r w:rsidRPr="0013601C">
        <w:t xml:space="preserve"> </w:t>
      </w:r>
      <w:r w:rsidRPr="003178A5">
        <w:rPr>
          <w:i/>
          <w:iCs/>
        </w:rPr>
        <w:t>Privacy and Data Protection Act 2014</w:t>
      </w:r>
      <w:r w:rsidRPr="0013601C">
        <w:t xml:space="preserve"> </w:t>
      </w:r>
      <w:r>
        <w:t>(</w:t>
      </w:r>
      <w:r w:rsidRPr="005A3144">
        <w:rPr>
          <w:b/>
          <w:bCs/>
        </w:rPr>
        <w:t>PDP Act</w:t>
      </w:r>
      <w:r>
        <w:t>)</w:t>
      </w:r>
    </w:p>
    <w:p w14:paraId="4B188EE4" w14:textId="395A3A9C" w:rsidR="007A3D3F" w:rsidRPr="0013601C" w:rsidRDefault="007A3D3F" w:rsidP="007A3D3F">
      <w:pPr>
        <w:pStyle w:val="VDWCbullet1"/>
      </w:pPr>
      <w:r>
        <w:t xml:space="preserve">the </w:t>
      </w:r>
      <w:r w:rsidRPr="5E539D02">
        <w:rPr>
          <w:i/>
          <w:iCs/>
        </w:rPr>
        <w:t>Health Records Act 2001</w:t>
      </w:r>
      <w:r>
        <w:t xml:space="preserve"> (</w:t>
      </w:r>
      <w:r w:rsidRPr="5E539D02">
        <w:rPr>
          <w:b/>
          <w:bCs/>
        </w:rPr>
        <w:t>Health Records Act</w:t>
      </w:r>
      <w:r>
        <w:t>)</w:t>
      </w:r>
    </w:p>
    <w:p w14:paraId="4CFF8AA1" w14:textId="12AB9084" w:rsidR="20B20FA2" w:rsidRDefault="20B20FA2" w:rsidP="6A0AE52B">
      <w:pPr>
        <w:pStyle w:val="VDWCbullet1"/>
        <w:rPr>
          <w:rFonts w:eastAsia="Arial" w:cs="Arial"/>
        </w:rPr>
      </w:pPr>
      <w:r>
        <w:t xml:space="preserve">the </w:t>
      </w:r>
      <w:r w:rsidRPr="5E539D02">
        <w:rPr>
          <w:i/>
          <w:iCs/>
        </w:rPr>
        <w:t>Family Violence Protection Act 2008</w:t>
      </w:r>
    </w:p>
    <w:p w14:paraId="573B29BC" w14:textId="162E0166" w:rsidR="20B20FA2" w:rsidRDefault="20B20FA2" w:rsidP="6A0AE52B">
      <w:pPr>
        <w:pStyle w:val="VDWCbullet1"/>
      </w:pPr>
      <w:r>
        <w:t xml:space="preserve">the </w:t>
      </w:r>
      <w:r w:rsidRPr="5E539D02">
        <w:rPr>
          <w:i/>
          <w:iCs/>
        </w:rPr>
        <w:t>Child Wellbeing and Safety Act 2005</w:t>
      </w:r>
    </w:p>
    <w:p w14:paraId="082E90EE" w14:textId="55875341" w:rsidR="007A3D3F" w:rsidRPr="0013601C" w:rsidRDefault="007A3D3F" w:rsidP="007A3D3F">
      <w:pPr>
        <w:pStyle w:val="VDWCbullet1"/>
      </w:pPr>
      <w:r w:rsidRPr="00BA3052">
        <w:t>the</w:t>
      </w:r>
      <w:r w:rsidRPr="0013601C">
        <w:t xml:space="preserve"> </w:t>
      </w:r>
      <w:r w:rsidRPr="003178A5">
        <w:rPr>
          <w:i/>
          <w:iCs/>
        </w:rPr>
        <w:t>Charter of Human Rights and Responsibilities Act 2006</w:t>
      </w:r>
      <w:r w:rsidRPr="0013601C">
        <w:t xml:space="preserve"> and</w:t>
      </w:r>
    </w:p>
    <w:p w14:paraId="11F3CD8E" w14:textId="5A1299D2" w:rsidR="007A3D3F" w:rsidRPr="00285F34" w:rsidRDefault="007A3D3F" w:rsidP="007A3D3F">
      <w:pPr>
        <w:pStyle w:val="VDWCbullet1"/>
      </w:pPr>
      <w:r>
        <w:t xml:space="preserve">the </w:t>
      </w:r>
      <w:r w:rsidRPr="2354B879">
        <w:rPr>
          <w:i/>
          <w:iCs/>
        </w:rPr>
        <w:t>Freedom of Information Act 1982</w:t>
      </w:r>
      <w:r>
        <w:t>.</w:t>
      </w:r>
    </w:p>
    <w:p w14:paraId="58A5CFBD" w14:textId="2B42134F" w:rsidR="007F540E" w:rsidRPr="00D87170" w:rsidRDefault="007F540E" w:rsidP="00D87170">
      <w:pPr>
        <w:pStyle w:val="Heading1"/>
      </w:pPr>
      <w:r w:rsidRPr="007F540E">
        <w:t>Policy review and currency</w:t>
      </w:r>
    </w:p>
    <w:p w14:paraId="6C1F79CC" w14:textId="35420320" w:rsidR="007F540E" w:rsidRDefault="007F540E" w:rsidP="008C165F">
      <w:pPr>
        <w:pStyle w:val="VDWCbody"/>
      </w:pPr>
      <w:r w:rsidRPr="00FF24A5">
        <w:t>Th</w:t>
      </w:r>
      <w:r>
        <w:t>is policy will be reviewed annually</w:t>
      </w:r>
      <w:r w:rsidR="00DC3C49">
        <w:t xml:space="preserve"> from the last approved date, or when there is a significant change in the policy.</w:t>
      </w:r>
    </w:p>
    <w:p w14:paraId="3939DCDF" w14:textId="2136C317" w:rsidR="00FF24A5" w:rsidRPr="00FF5C1E" w:rsidRDefault="00FF24A5" w:rsidP="00FF24A5">
      <w:pPr>
        <w:pStyle w:val="Heading3"/>
      </w:pPr>
      <w:r>
        <w:t xml:space="preserve">Version history </w:t>
      </w: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4A0" w:firstRow="1" w:lastRow="0" w:firstColumn="1" w:lastColumn="0" w:noHBand="0" w:noVBand="1"/>
      </w:tblPr>
      <w:tblGrid>
        <w:gridCol w:w="2019"/>
        <w:gridCol w:w="2026"/>
        <w:gridCol w:w="1518"/>
        <w:gridCol w:w="1950"/>
        <w:gridCol w:w="1877"/>
      </w:tblGrid>
      <w:tr w:rsidR="00FF24A5" w:rsidRPr="0097513B" w14:paraId="21CE79CD" w14:textId="77777777" w:rsidTr="126C3252">
        <w:tc>
          <w:tcPr>
            <w:tcW w:w="9390" w:type="dxa"/>
            <w:gridSpan w:val="5"/>
            <w:tcBorders>
              <w:top w:val="single" w:sz="4" w:space="0" w:color="808080" w:themeColor="background1" w:themeShade="80"/>
              <w:left w:val="nil"/>
              <w:bottom w:val="single" w:sz="4" w:space="0" w:color="808080" w:themeColor="background1" w:themeShade="80"/>
              <w:right w:val="nil"/>
            </w:tcBorders>
            <w:shd w:val="clear" w:color="auto" w:fill="auto"/>
            <w:hideMark/>
          </w:tcPr>
          <w:p w14:paraId="7BDB295B" w14:textId="77777777" w:rsidR="00FF24A5" w:rsidRPr="00FF5C1E" w:rsidRDefault="00FF24A5" w:rsidP="00BA76D2">
            <w:pPr>
              <w:pStyle w:val="Tabletitleheading"/>
            </w:pPr>
            <w:r w:rsidRPr="0097513B">
              <w:t>Release notice</w:t>
            </w:r>
          </w:p>
        </w:tc>
      </w:tr>
      <w:tr w:rsidR="00FF24A5" w:rsidRPr="0097513B" w14:paraId="6E548CD3" w14:textId="77777777" w:rsidTr="126C3252">
        <w:trPr>
          <w:trHeight w:val="688"/>
        </w:trPr>
        <w:tc>
          <w:tcPr>
            <w:tcW w:w="201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09237D20" w14:textId="77777777" w:rsidR="00FF24A5" w:rsidRPr="0097513B" w:rsidRDefault="00FF24A5" w:rsidP="008C165F">
            <w:pPr>
              <w:pStyle w:val="VDWCtablecolhead"/>
            </w:pPr>
            <w:r w:rsidRPr="0097513B">
              <w:t>Version</w:t>
            </w:r>
          </w:p>
        </w:tc>
        <w:tc>
          <w:tcPr>
            <w:tcW w:w="2026"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3183EB53" w14:textId="77777777" w:rsidR="00FF24A5" w:rsidRPr="0097513B" w:rsidRDefault="00FF24A5" w:rsidP="008C165F">
            <w:pPr>
              <w:pStyle w:val="VDWCtablecolhead"/>
            </w:pPr>
            <w:r w:rsidRPr="0097513B">
              <w:t>Date of effect</w:t>
            </w:r>
          </w:p>
        </w:tc>
        <w:tc>
          <w:tcPr>
            <w:tcW w:w="1518"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2CE7998F" w14:textId="77777777" w:rsidR="00FF24A5" w:rsidRPr="0097513B" w:rsidRDefault="00FF24A5" w:rsidP="008C165F">
            <w:pPr>
              <w:pStyle w:val="VDWCtablecolhead"/>
            </w:pPr>
            <w:r w:rsidRPr="0097513B">
              <w:t>Amendment details</w:t>
            </w:r>
          </w:p>
        </w:tc>
        <w:tc>
          <w:tcPr>
            <w:tcW w:w="3827" w:type="dxa"/>
            <w:gridSpan w:val="2"/>
            <w:tcBorders>
              <w:top w:val="single" w:sz="4" w:space="0" w:color="808080" w:themeColor="background1" w:themeShade="80"/>
              <w:left w:val="nil"/>
              <w:bottom w:val="single" w:sz="4" w:space="0" w:color="808080" w:themeColor="background1" w:themeShade="80"/>
              <w:right w:val="nil"/>
            </w:tcBorders>
            <w:shd w:val="clear" w:color="auto" w:fill="auto"/>
            <w:hideMark/>
          </w:tcPr>
          <w:p w14:paraId="4BFAC496" w14:textId="77777777" w:rsidR="00FF24A5" w:rsidRPr="0097513B" w:rsidRDefault="00FF24A5" w:rsidP="008C165F">
            <w:pPr>
              <w:pStyle w:val="VDWCtablecolhead"/>
            </w:pPr>
            <w:r w:rsidRPr="0097513B">
              <w:t>Amended by</w:t>
            </w:r>
          </w:p>
        </w:tc>
      </w:tr>
      <w:tr w:rsidR="00FF24A5" w:rsidRPr="0097513B" w14:paraId="5312E67D" w14:textId="77777777" w:rsidTr="126C3252">
        <w:tc>
          <w:tcPr>
            <w:tcW w:w="2019" w:type="dxa"/>
            <w:tcBorders>
              <w:top w:val="single" w:sz="4" w:space="0" w:color="808080" w:themeColor="background1" w:themeShade="80"/>
              <w:left w:val="nil"/>
              <w:bottom w:val="single" w:sz="4" w:space="0" w:color="auto"/>
              <w:right w:val="nil"/>
            </w:tcBorders>
            <w:hideMark/>
          </w:tcPr>
          <w:p w14:paraId="3CAB6ECB" w14:textId="77777777" w:rsidR="00FF24A5" w:rsidRPr="0097513B" w:rsidRDefault="00FF24A5" w:rsidP="008C165F">
            <w:pPr>
              <w:pStyle w:val="VDWCtabletext"/>
            </w:pPr>
            <w:r w:rsidRPr="0097513B">
              <w:t>1.0</w:t>
            </w:r>
          </w:p>
        </w:tc>
        <w:tc>
          <w:tcPr>
            <w:tcW w:w="2026" w:type="dxa"/>
            <w:tcBorders>
              <w:top w:val="single" w:sz="4" w:space="0" w:color="808080" w:themeColor="background1" w:themeShade="80"/>
              <w:left w:val="nil"/>
              <w:bottom w:val="single" w:sz="4" w:space="0" w:color="auto"/>
              <w:right w:val="nil"/>
            </w:tcBorders>
          </w:tcPr>
          <w:p w14:paraId="17C62A34" w14:textId="7F555E18" w:rsidR="00FF24A5" w:rsidRPr="00DC4DDE" w:rsidRDefault="00402D4D" w:rsidP="00DC4DDE">
            <w:pPr>
              <w:pStyle w:val="VDWCtabletext6pt"/>
              <w:rPr>
                <w:rFonts w:cs="Arial"/>
                <w:color w:val="FF0000"/>
              </w:rPr>
            </w:pPr>
            <w:r w:rsidRPr="00402D4D">
              <w:t>6 August 2020</w:t>
            </w:r>
          </w:p>
        </w:tc>
        <w:tc>
          <w:tcPr>
            <w:tcW w:w="1518" w:type="dxa"/>
            <w:tcBorders>
              <w:top w:val="single" w:sz="4" w:space="0" w:color="808080" w:themeColor="background1" w:themeShade="80"/>
              <w:left w:val="nil"/>
              <w:bottom w:val="single" w:sz="4" w:space="0" w:color="auto"/>
              <w:right w:val="nil"/>
            </w:tcBorders>
            <w:hideMark/>
          </w:tcPr>
          <w:p w14:paraId="284DD92B" w14:textId="77777777" w:rsidR="00FF24A5" w:rsidRPr="0097513B" w:rsidRDefault="00FF24A5" w:rsidP="008C165F">
            <w:pPr>
              <w:pStyle w:val="VDWCtabletext"/>
            </w:pPr>
            <w:r w:rsidRPr="0097513B">
              <w:t>Initial release</w:t>
            </w:r>
          </w:p>
        </w:tc>
        <w:tc>
          <w:tcPr>
            <w:tcW w:w="3827" w:type="dxa"/>
            <w:gridSpan w:val="2"/>
            <w:tcBorders>
              <w:top w:val="single" w:sz="4" w:space="0" w:color="808080" w:themeColor="background1" w:themeShade="80"/>
              <w:left w:val="nil"/>
              <w:bottom w:val="single" w:sz="4" w:space="0" w:color="auto"/>
              <w:right w:val="nil"/>
            </w:tcBorders>
          </w:tcPr>
          <w:p w14:paraId="4D911D03" w14:textId="7185BB86" w:rsidR="00FF24A5" w:rsidRPr="0097513B" w:rsidRDefault="00FF24A5" w:rsidP="00BA76D2">
            <w:pPr>
              <w:pStyle w:val="Tabletext"/>
              <w:keepNext/>
              <w:spacing w:before="0" w:after="0"/>
              <w:rPr>
                <w:rFonts w:cs="Arial"/>
                <w:sz w:val="20"/>
              </w:rPr>
            </w:pPr>
          </w:p>
        </w:tc>
      </w:tr>
      <w:tr w:rsidR="6A0AE52B" w14:paraId="6E3289EE" w14:textId="77777777" w:rsidTr="126C3252">
        <w:tc>
          <w:tcPr>
            <w:tcW w:w="2019" w:type="dxa"/>
            <w:tcBorders>
              <w:top w:val="single" w:sz="4" w:space="0" w:color="808080" w:themeColor="background1" w:themeShade="80"/>
              <w:left w:val="nil"/>
              <w:bottom w:val="single" w:sz="4" w:space="0" w:color="auto"/>
              <w:right w:val="nil"/>
            </w:tcBorders>
            <w:hideMark/>
          </w:tcPr>
          <w:p w14:paraId="0FFAFD01" w14:textId="4465CE20" w:rsidR="4FE1CB88" w:rsidRDefault="4FE1CB88" w:rsidP="5E539D02">
            <w:pPr>
              <w:pStyle w:val="VDWCtabletext"/>
            </w:pPr>
            <w:r>
              <w:t>2.0</w:t>
            </w:r>
          </w:p>
        </w:tc>
        <w:tc>
          <w:tcPr>
            <w:tcW w:w="2026" w:type="dxa"/>
            <w:tcBorders>
              <w:top w:val="single" w:sz="4" w:space="0" w:color="808080" w:themeColor="background1" w:themeShade="80"/>
              <w:left w:val="nil"/>
              <w:bottom w:val="single" w:sz="4" w:space="0" w:color="auto"/>
              <w:right w:val="nil"/>
            </w:tcBorders>
          </w:tcPr>
          <w:p w14:paraId="2EAB46B3" w14:textId="7993F687" w:rsidR="4FE1CB88" w:rsidRDefault="3174AB79" w:rsidP="5E539D02">
            <w:pPr>
              <w:pStyle w:val="VDWCtabletext6pt"/>
            </w:pPr>
            <w:r>
              <w:t>15</w:t>
            </w:r>
            <w:r w:rsidR="4FE1CB88">
              <w:t xml:space="preserve"> April 2021</w:t>
            </w:r>
          </w:p>
        </w:tc>
        <w:tc>
          <w:tcPr>
            <w:tcW w:w="1518" w:type="dxa"/>
            <w:tcBorders>
              <w:top w:val="single" w:sz="4" w:space="0" w:color="808080" w:themeColor="background1" w:themeShade="80"/>
              <w:left w:val="nil"/>
              <w:bottom w:val="single" w:sz="4" w:space="0" w:color="auto"/>
              <w:right w:val="nil"/>
            </w:tcBorders>
            <w:hideMark/>
          </w:tcPr>
          <w:p w14:paraId="7D622F1C" w14:textId="105AB07E" w:rsidR="4FE1CB88" w:rsidRDefault="4FE1CB88" w:rsidP="5E539D02">
            <w:pPr>
              <w:pStyle w:val="VDWCtabletext"/>
            </w:pPr>
            <w:r>
              <w:t>Updated for FVISS and CISS requirements</w:t>
            </w:r>
          </w:p>
        </w:tc>
        <w:tc>
          <w:tcPr>
            <w:tcW w:w="3827" w:type="dxa"/>
            <w:gridSpan w:val="2"/>
            <w:tcBorders>
              <w:top w:val="single" w:sz="4" w:space="0" w:color="808080" w:themeColor="background1" w:themeShade="80"/>
              <w:left w:val="nil"/>
              <w:bottom w:val="single" w:sz="4" w:space="0" w:color="auto"/>
              <w:right w:val="nil"/>
            </w:tcBorders>
          </w:tcPr>
          <w:p w14:paraId="134C58A8" w14:textId="257CE9A3" w:rsidR="4FE1CB88" w:rsidRDefault="4FE1CB88" w:rsidP="5E539D02">
            <w:pPr>
              <w:pStyle w:val="Tabletext"/>
              <w:rPr>
                <w:sz w:val="20"/>
                <w:szCs w:val="20"/>
              </w:rPr>
            </w:pPr>
            <w:r w:rsidRPr="5E539D02">
              <w:rPr>
                <w:sz w:val="20"/>
                <w:szCs w:val="20"/>
              </w:rPr>
              <w:t>General Counsel</w:t>
            </w:r>
          </w:p>
        </w:tc>
      </w:tr>
      <w:tr w:rsidR="00FF24A5" w:rsidRPr="0097513B" w14:paraId="3A0AA111" w14:textId="77777777" w:rsidTr="126C3252">
        <w:trPr>
          <w:trHeight w:val="251"/>
        </w:trPr>
        <w:tc>
          <w:tcPr>
            <w:tcW w:w="2019" w:type="dxa"/>
            <w:tcBorders>
              <w:top w:val="single" w:sz="4" w:space="0" w:color="808080" w:themeColor="background1" w:themeShade="80"/>
              <w:left w:val="nil"/>
              <w:bottom w:val="nil"/>
              <w:right w:val="nil"/>
            </w:tcBorders>
            <w:hideMark/>
          </w:tcPr>
          <w:p w14:paraId="1251A3FB" w14:textId="77777777" w:rsidR="00FF24A5" w:rsidRPr="0097513B" w:rsidRDefault="00FF24A5" w:rsidP="008C165F">
            <w:pPr>
              <w:pStyle w:val="VDWCtabletext"/>
            </w:pPr>
            <w:r w:rsidRPr="0097513B">
              <w:t>Record no.:</w:t>
            </w:r>
          </w:p>
        </w:tc>
        <w:tc>
          <w:tcPr>
            <w:tcW w:w="7371" w:type="dxa"/>
            <w:gridSpan w:val="4"/>
            <w:tcBorders>
              <w:top w:val="single" w:sz="4" w:space="0" w:color="808080" w:themeColor="background1" w:themeShade="80"/>
              <w:left w:val="nil"/>
              <w:bottom w:val="nil"/>
              <w:right w:val="nil"/>
            </w:tcBorders>
            <w:hideMark/>
          </w:tcPr>
          <w:p w14:paraId="610C9059" w14:textId="3DFD93E9" w:rsidR="00FF24A5" w:rsidRPr="008333C0" w:rsidRDefault="00461AA4" w:rsidP="008C165F">
            <w:pPr>
              <w:pStyle w:val="VDWCtabletext"/>
              <w:rPr>
                <w:color w:val="000000" w:themeColor="text1"/>
              </w:rPr>
            </w:pPr>
            <w:r w:rsidRPr="126C3252">
              <w:rPr>
                <w:color w:val="000000" w:themeColor="text1"/>
              </w:rPr>
              <w:t>VDWC/D/2</w:t>
            </w:r>
            <w:r w:rsidR="46FCA038" w:rsidRPr="126C3252">
              <w:rPr>
                <w:color w:val="000000" w:themeColor="text1"/>
              </w:rPr>
              <w:t>1</w:t>
            </w:r>
            <w:r w:rsidRPr="126C3252">
              <w:rPr>
                <w:color w:val="000000" w:themeColor="text1"/>
              </w:rPr>
              <w:t>/1</w:t>
            </w:r>
            <w:r w:rsidR="340D3184" w:rsidRPr="126C3252">
              <w:rPr>
                <w:color w:val="000000" w:themeColor="text1"/>
              </w:rPr>
              <w:t>141</w:t>
            </w:r>
          </w:p>
        </w:tc>
      </w:tr>
      <w:tr w:rsidR="00FF24A5" w:rsidRPr="0097513B" w14:paraId="08A5A57A" w14:textId="77777777" w:rsidTr="126C3252">
        <w:tc>
          <w:tcPr>
            <w:tcW w:w="2019" w:type="dxa"/>
            <w:tcBorders>
              <w:top w:val="nil"/>
              <w:left w:val="nil"/>
              <w:bottom w:val="nil"/>
              <w:right w:val="nil"/>
            </w:tcBorders>
            <w:hideMark/>
          </w:tcPr>
          <w:p w14:paraId="44D1D0E2" w14:textId="77777777" w:rsidR="00FF24A5" w:rsidRPr="0097513B" w:rsidRDefault="00FF24A5" w:rsidP="008C165F">
            <w:pPr>
              <w:pStyle w:val="VDWCtabletext"/>
            </w:pPr>
            <w:r w:rsidRPr="0097513B">
              <w:t>Policy owner:</w:t>
            </w:r>
          </w:p>
        </w:tc>
        <w:tc>
          <w:tcPr>
            <w:tcW w:w="7371" w:type="dxa"/>
            <w:gridSpan w:val="4"/>
            <w:tcBorders>
              <w:top w:val="nil"/>
              <w:left w:val="nil"/>
              <w:bottom w:val="nil"/>
              <w:right w:val="nil"/>
            </w:tcBorders>
            <w:hideMark/>
          </w:tcPr>
          <w:p w14:paraId="4047416C" w14:textId="41F7F21B" w:rsidR="00FF24A5" w:rsidRPr="0097513B" w:rsidRDefault="00FE00E9" w:rsidP="008C165F">
            <w:pPr>
              <w:pStyle w:val="VDWCtabletext"/>
            </w:pPr>
            <w:r>
              <w:t>General Counsel</w:t>
            </w:r>
          </w:p>
        </w:tc>
      </w:tr>
      <w:tr w:rsidR="00FF24A5" w:rsidRPr="0097513B" w14:paraId="75649157" w14:textId="77777777" w:rsidTr="126C3252">
        <w:tc>
          <w:tcPr>
            <w:tcW w:w="2019" w:type="dxa"/>
            <w:tcBorders>
              <w:top w:val="nil"/>
              <w:left w:val="nil"/>
              <w:bottom w:val="nil"/>
              <w:right w:val="nil"/>
            </w:tcBorders>
            <w:hideMark/>
          </w:tcPr>
          <w:p w14:paraId="55C9F99C" w14:textId="77777777" w:rsidR="00FF24A5" w:rsidRPr="0097513B" w:rsidRDefault="00FF24A5" w:rsidP="008C165F">
            <w:pPr>
              <w:pStyle w:val="VDWCtabletext"/>
            </w:pPr>
            <w:r w:rsidRPr="0097513B">
              <w:t>Approved by:</w:t>
            </w:r>
          </w:p>
        </w:tc>
        <w:tc>
          <w:tcPr>
            <w:tcW w:w="3544" w:type="dxa"/>
            <w:gridSpan w:val="2"/>
            <w:tcBorders>
              <w:top w:val="nil"/>
              <w:left w:val="nil"/>
              <w:bottom w:val="nil"/>
              <w:right w:val="nil"/>
            </w:tcBorders>
            <w:hideMark/>
          </w:tcPr>
          <w:p w14:paraId="4079A9AB" w14:textId="3294F834" w:rsidR="00FF24A5" w:rsidRPr="0097513B" w:rsidRDefault="00FF24A5" w:rsidP="008C165F">
            <w:pPr>
              <w:pStyle w:val="VDWCtabletext"/>
            </w:pPr>
            <w:r w:rsidRPr="0097513B">
              <w:t>C</w:t>
            </w:r>
            <w:r w:rsidR="00ED6919">
              <w:t>ommissioner</w:t>
            </w:r>
          </w:p>
        </w:tc>
        <w:tc>
          <w:tcPr>
            <w:tcW w:w="1950" w:type="dxa"/>
            <w:tcBorders>
              <w:top w:val="nil"/>
              <w:left w:val="nil"/>
              <w:bottom w:val="nil"/>
              <w:right w:val="nil"/>
            </w:tcBorders>
            <w:hideMark/>
          </w:tcPr>
          <w:p w14:paraId="166ED05A" w14:textId="77777777" w:rsidR="00FF24A5" w:rsidRPr="00ED6919" w:rsidRDefault="00FF24A5" w:rsidP="008C165F">
            <w:pPr>
              <w:pStyle w:val="VDWCtabletext"/>
              <w:rPr>
                <w:color w:val="FF0000"/>
              </w:rPr>
            </w:pPr>
            <w:r w:rsidRPr="00460496">
              <w:t>Approved on:</w:t>
            </w:r>
          </w:p>
        </w:tc>
        <w:tc>
          <w:tcPr>
            <w:tcW w:w="1877" w:type="dxa"/>
            <w:tcBorders>
              <w:top w:val="nil"/>
              <w:left w:val="nil"/>
              <w:bottom w:val="nil"/>
              <w:right w:val="nil"/>
            </w:tcBorders>
            <w:hideMark/>
          </w:tcPr>
          <w:p w14:paraId="343BCE42" w14:textId="10AC16A9" w:rsidR="00FF24A5" w:rsidRPr="00ED6919" w:rsidRDefault="0FD42346" w:rsidP="5E539D02">
            <w:pPr>
              <w:pStyle w:val="VDWCtabletext"/>
            </w:pPr>
            <w:r>
              <w:t>15 April</w:t>
            </w:r>
            <w:r w:rsidR="00402D4D">
              <w:t xml:space="preserve"> 2020</w:t>
            </w:r>
          </w:p>
        </w:tc>
      </w:tr>
      <w:tr w:rsidR="00FF24A5" w:rsidRPr="0097513B" w14:paraId="1F31F9C9" w14:textId="77777777" w:rsidTr="126C3252">
        <w:tc>
          <w:tcPr>
            <w:tcW w:w="2019" w:type="dxa"/>
            <w:tcBorders>
              <w:top w:val="nil"/>
              <w:left w:val="nil"/>
              <w:bottom w:val="single" w:sz="4" w:space="0" w:color="808080" w:themeColor="background1" w:themeShade="80"/>
              <w:right w:val="nil"/>
            </w:tcBorders>
            <w:hideMark/>
          </w:tcPr>
          <w:p w14:paraId="2E28AEDE" w14:textId="77777777" w:rsidR="00FF24A5" w:rsidRPr="0097513B" w:rsidRDefault="00FF24A5" w:rsidP="008C165F">
            <w:pPr>
              <w:pStyle w:val="VDWCtabletext"/>
            </w:pPr>
            <w:r w:rsidRPr="0097513B">
              <w:t>Next Review Due:</w:t>
            </w:r>
          </w:p>
        </w:tc>
        <w:tc>
          <w:tcPr>
            <w:tcW w:w="3544" w:type="dxa"/>
            <w:gridSpan w:val="2"/>
            <w:tcBorders>
              <w:top w:val="nil"/>
              <w:left w:val="nil"/>
              <w:bottom w:val="single" w:sz="4" w:space="0" w:color="808080" w:themeColor="background1" w:themeShade="80"/>
              <w:right w:val="nil"/>
            </w:tcBorders>
            <w:hideMark/>
          </w:tcPr>
          <w:p w14:paraId="69C942A7" w14:textId="2E4BB932" w:rsidR="00FF24A5" w:rsidRPr="00ED6919" w:rsidRDefault="5F3B5E14" w:rsidP="008C165F">
            <w:pPr>
              <w:pStyle w:val="VDWCtabletext"/>
            </w:pPr>
            <w:r>
              <w:t>April</w:t>
            </w:r>
            <w:r w:rsidR="110D9024">
              <w:t xml:space="preserve"> 202</w:t>
            </w:r>
            <w:r w:rsidR="60665C20">
              <w:t>2</w:t>
            </w:r>
          </w:p>
        </w:tc>
        <w:tc>
          <w:tcPr>
            <w:tcW w:w="1950" w:type="dxa"/>
            <w:tcBorders>
              <w:top w:val="nil"/>
              <w:left w:val="nil"/>
              <w:bottom w:val="single" w:sz="4" w:space="0" w:color="808080" w:themeColor="background1" w:themeShade="80"/>
              <w:right w:val="nil"/>
            </w:tcBorders>
          </w:tcPr>
          <w:p w14:paraId="690EEFDC" w14:textId="77777777" w:rsidR="00FF24A5" w:rsidRPr="0097513B" w:rsidRDefault="00FF24A5" w:rsidP="00BA76D2">
            <w:pPr>
              <w:pStyle w:val="Tabletext"/>
              <w:spacing w:before="0" w:after="0"/>
              <w:rPr>
                <w:rFonts w:cs="Arial"/>
                <w:sz w:val="20"/>
                <w:szCs w:val="20"/>
                <w:highlight w:val="yellow"/>
              </w:rPr>
            </w:pPr>
          </w:p>
        </w:tc>
        <w:tc>
          <w:tcPr>
            <w:tcW w:w="1877" w:type="dxa"/>
            <w:tcBorders>
              <w:top w:val="nil"/>
              <w:left w:val="nil"/>
              <w:bottom w:val="single" w:sz="4" w:space="0" w:color="808080" w:themeColor="background1" w:themeShade="80"/>
              <w:right w:val="nil"/>
            </w:tcBorders>
          </w:tcPr>
          <w:p w14:paraId="7D14BA0A" w14:textId="21EC44CD" w:rsidR="00FF24A5" w:rsidRPr="0097513B" w:rsidRDefault="00FF24A5" w:rsidP="2354B879">
            <w:pPr>
              <w:pStyle w:val="Tabletext"/>
              <w:spacing w:before="0" w:after="0"/>
              <w:ind w:left="493"/>
              <w:rPr>
                <w:rFonts w:cs="Arial"/>
                <w:sz w:val="20"/>
                <w:szCs w:val="20"/>
                <w:highlight w:val="yellow"/>
              </w:rPr>
            </w:pPr>
          </w:p>
        </w:tc>
      </w:tr>
    </w:tbl>
    <w:p w14:paraId="01B484BD" w14:textId="636EFADC" w:rsidR="00FF24A5" w:rsidRDefault="00FF24A5" w:rsidP="008C165F">
      <w:pPr>
        <w:pStyle w:val="VDWCbody"/>
      </w:pPr>
    </w:p>
    <w:p w14:paraId="5CAC2CF4" w14:textId="62DE9A79" w:rsidR="00DB563B" w:rsidRDefault="00DB563B" w:rsidP="008C165F">
      <w:pPr>
        <w:pStyle w:val="VDWCbody"/>
      </w:pPr>
    </w:p>
    <w:sectPr w:rsidR="00DB563B" w:rsidSect="004013C7">
      <w:headerReference w:type="default" r:id="rId18"/>
      <w:footerReference w:type="default" r:id="rId19"/>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F7E62" w14:textId="77777777" w:rsidR="00CC5BE7" w:rsidRDefault="00CC5BE7">
      <w:r>
        <w:separator/>
      </w:r>
    </w:p>
  </w:endnote>
  <w:endnote w:type="continuationSeparator" w:id="0">
    <w:p w14:paraId="50A17ACC" w14:textId="77777777" w:rsidR="00CC5BE7" w:rsidRDefault="00CC5BE7">
      <w:r>
        <w:continuationSeparator/>
      </w:r>
    </w:p>
  </w:endnote>
  <w:endnote w:type="continuationNotice" w:id="1">
    <w:p w14:paraId="77259B4F" w14:textId="77777777" w:rsidR="00CC5BE7" w:rsidRDefault="00CC5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2D5F" w14:textId="622E667B" w:rsidR="009D70A4" w:rsidRPr="00F65AA9" w:rsidRDefault="002E1D59" w:rsidP="0051568D">
    <w:pPr>
      <w:pStyle w:val="VDWCfooter"/>
    </w:pPr>
    <w:r>
      <w:rPr>
        <w:noProof/>
      </w:rPr>
      <mc:AlternateContent>
        <mc:Choice Requires="wps">
          <w:drawing>
            <wp:anchor distT="0" distB="0" distL="114300" distR="114300" simplePos="0" relativeHeight="251658241" behindDoc="0" locked="0" layoutInCell="0" allowOverlap="1" wp14:anchorId="291E73BF" wp14:editId="0A2DFA7A">
              <wp:simplePos x="0" y="0"/>
              <wp:positionH relativeFrom="page">
                <wp:posOffset>0</wp:posOffset>
              </wp:positionH>
              <wp:positionV relativeFrom="page">
                <wp:posOffset>10189210</wp:posOffset>
              </wp:positionV>
              <wp:extent cx="7560310" cy="311785"/>
              <wp:effectExtent l="0" t="0" r="0" b="12065"/>
              <wp:wrapNone/>
              <wp:docPr id="1" name="MSIPCMa4bd484d81c8cf4b10b3110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B0F602" w14:textId="4DAD089B" w:rsidR="002E1D59" w:rsidRPr="002E1D59" w:rsidRDefault="002E1D59" w:rsidP="002E1D59">
                          <w:pPr>
                            <w:jc w:val="center"/>
                            <w:rPr>
                              <w:rFonts w:ascii="Arial Black" w:hAnsi="Arial Black"/>
                              <w:color w:val="000000"/>
                            </w:rPr>
                          </w:pPr>
                          <w:r w:rsidRPr="002E1D5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291E73BF">
              <v:stroke joinstyle="miter"/>
              <v:path gradientshapeok="t" o:connecttype="rect"/>
            </v:shapetype>
            <v:shape id="MSIPCMa4bd484d81c8cf4b10b3110b"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7AOrAIAAEUFAAAOAAAAZHJzL2Uyb0RvYy54bWysVE1v2zAMvQ/YfxB02Gmr7cZJU69OkaXI&#10;WiBtA6RDz7IsxwZsUZWUxtmw/z7KltOu22nYRaYeaX48krq4bJuaPAttKpApjU5CSoTkkFdym9Jv&#10;D8tPU0qMZTJnNUiR0oMw9HL2/t3FXiXiFEqoc6EJOpEm2auUltaqJAgML0XDzAkoIVFZgG6Yxave&#10;Brlme/Te1MFpGE6CPehcaeDCGESveiWddf6LQnB7XxRGWFKnFHOz3am7M3NnMLtgyVYzVVbcp8H+&#10;IYuGVRKDHl1dMcvITld/uGoqrsFAYU84NAEURcVFVwNWE4VvqtmUTImuFiTHqCNN5v+55XfPa02q&#10;HHtHiWQNtuh2c7Ne3LI4y+NpnE8jPuVFnEVhNorwoCQXhiODPz487cB+vmamXEAu+ltyHsZn4+lo&#10;En30alFtS+uV0xgHxCseq9yWHh+fj4/4umZcNEIO//QmSwArdC97BzcyF6130H/WumqYPvxmtcEJ&#10;wNH0dkNWD6A8Eh4Dr0QxxETwp5uMvTIJErRRSJFtv0DrWPK4QdA1vC10477YSoJ6nLHDca5EawlH&#10;8Gw8CUcRqjjqkMWz6di5CV7+VtrYrwIa4oSUasy6Gyf2vDK2Nx1MXDAJy6quEWdJLck+pZPROOx+&#10;OGrQeS0xhquhz9VJts1aX0AG+QHr0tDvhFF8WWHwFTN2zTQuAeaLi23v8ShqwCDgJUpK0N//hjt7&#10;nE3UUrLHpUqpedoxLSipbyRO7XkUx24LuwsK+jWaDajcNQvAfcWJxKw60dnaehALDc0j7v3cRUMV&#10;kxxjphSHsxcXFm+owHeDi/m8k3HfFLMruVHcuXbcOUof2kemlefdYsfuYFg7lryhv7ftGzDfWSiq&#10;rjeO2J5Nzzfuatdd/664x+D1vbN6ef1mvwA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btOwDqwCAABFBQAADgAAAAAA&#10;AAAAAAAAAAAuAgAAZHJzL2Uyb0RvYy54bWxQSwECLQAUAAYACAAAACEASA1emt8AAAALAQAADwAA&#10;AAAAAAAAAAAAAAAGBQAAZHJzL2Rvd25yZXYueG1sUEsFBgAAAAAEAAQA8wAAABIGAAAAAA==&#10;">
              <v:textbox inset=",0,,0">
                <w:txbxContent>
                  <w:p w:rsidRPr="002E1D59" w:rsidR="002E1D59" w:rsidP="002E1D59" w:rsidRDefault="002E1D59" w14:paraId="23B0F602" w14:textId="4DAD089B">
                    <w:pPr>
                      <w:jc w:val="center"/>
                      <w:rPr>
                        <w:rFonts w:ascii="Arial Black" w:hAnsi="Arial Black"/>
                        <w:color w:val="000000"/>
                      </w:rPr>
                    </w:pPr>
                    <w:r w:rsidRPr="002E1D59">
                      <w:rPr>
                        <w:rFonts w:ascii="Arial Black" w:hAnsi="Arial Black"/>
                        <w:color w:val="000000"/>
                      </w:rPr>
                      <w:t>OFFICIAL</w:t>
                    </w:r>
                  </w:p>
                </w:txbxContent>
              </v:textbox>
              <w10:wrap anchorx="page" anchory="page"/>
            </v:shape>
          </w:pict>
        </mc:Fallback>
      </mc:AlternateContent>
    </w:r>
    <w:r w:rsidR="00B9264B">
      <w:rPr>
        <w:noProof/>
      </w:rPr>
      <w:drawing>
        <wp:anchor distT="0" distB="0" distL="114300" distR="114300" simplePos="0" relativeHeight="251658240" behindDoc="0" locked="1" layoutInCell="0" allowOverlap="1" wp14:anchorId="61BE9C94" wp14:editId="6889BA45">
          <wp:simplePos x="0" y="0"/>
          <wp:positionH relativeFrom="page">
            <wp:posOffset>4445</wp:posOffset>
          </wp:positionH>
          <wp:positionV relativeFrom="page">
            <wp:posOffset>9897745</wp:posOffset>
          </wp:positionV>
          <wp:extent cx="7546340" cy="790575"/>
          <wp:effectExtent l="0" t="0" r="0" b="0"/>
          <wp:wrapNone/>
          <wp:docPr id="3" name="Picture 14"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340" cy="790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88486" w14:textId="06245828" w:rsidR="00EA5C95" w:rsidRDefault="002E1D59">
    <w:pPr>
      <w:pStyle w:val="Footer"/>
    </w:pPr>
    <w:r>
      <w:rPr>
        <w:noProof/>
      </w:rPr>
      <mc:AlternateContent>
        <mc:Choice Requires="wps">
          <w:drawing>
            <wp:anchor distT="0" distB="0" distL="114300" distR="114300" simplePos="0" relativeHeight="251658242" behindDoc="0" locked="0" layoutInCell="0" allowOverlap="1" wp14:anchorId="3B56B79B" wp14:editId="7319CA32">
              <wp:simplePos x="0" y="0"/>
              <wp:positionH relativeFrom="page">
                <wp:posOffset>0</wp:posOffset>
              </wp:positionH>
              <wp:positionV relativeFrom="page">
                <wp:posOffset>10189210</wp:posOffset>
              </wp:positionV>
              <wp:extent cx="7560310" cy="311785"/>
              <wp:effectExtent l="0" t="0" r="0" b="12065"/>
              <wp:wrapNone/>
              <wp:docPr id="4" name="MSIPCMfa514b3ba0adac0b4cbaab2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EF8A83" w14:textId="70B583B2" w:rsidR="002E1D59" w:rsidRPr="002E1D59" w:rsidRDefault="002E1D59" w:rsidP="002E1D59">
                          <w:pPr>
                            <w:jc w:val="center"/>
                            <w:rPr>
                              <w:rFonts w:ascii="Arial Black" w:hAnsi="Arial Black"/>
                              <w:color w:val="000000"/>
                            </w:rPr>
                          </w:pPr>
                          <w:r w:rsidRPr="002E1D5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3B56B79B">
              <v:stroke joinstyle="miter"/>
              <v:path gradientshapeok="t" o:connecttype="rect"/>
            </v:shapetype>
            <v:shape id="MSIPCMfa514b3ba0adac0b4cbaab2e"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CkrgIAAEwFAAAOAAAAZHJzL2Uyb0RvYy54bWysVEtv2zAMvg/YfzB02Gmr7byaZnWKLEO2&#10;AmkbIB16pmU5NmCLqqQ0zob991GynXbdTsMuNsWP4vOjLq+augqehDYlyoTFZxELhOSYlXKXsG/3&#10;qw9TFhgLMoMKpUjYURh2NX/75vKgZmKABVaZ0AE5kWZ2UAkrrFWzMDS8EDWYM1RCEpijrsHSUe/C&#10;TMOBvNdVOIiiSXhAnSmNXBhD2s8tyObef54Lbu/y3AgbVAmj3Kz/av9N3TecX8Jsp0EVJe/SgH/I&#10;ooZSUtCTq89gIdjr8g9Xdck1GsztGcc6xDwvufA1UDVx9KqabQFK+FqoOUad2mT+n1t++7TRQZkl&#10;bMQCCTWN6GZ7vVne5DCOR+kwhQgy4FE64ilAOhAsyITh1MEf7x73aD9+BVMsMRPtaXYRjc7H0+Ek&#10;ft/BotwVtgOnIyJIBzyUmS06/fhifNJvKuCiFrK/05qsEK3Qrdw5uJaZaDoH7W+jyxr08TerLTGA&#10;qNnZDbq796g6TXQKvBZ5H5OUPx0zDsrMqEFbRS2yzSdsiOG93pDSDbzJde3+NMqAcOLY8cQr0diA&#10;k/J8PImGMUGcsGEcn0/Hzk34fFtpY78IrAMnJExT1p5O8LQ2tjXtTVwwiauyqjx3KxkcEjYZjiN/&#10;4YSQ80pSDFdDm6uTbJM2ftqnOlLMjlSexnY1jOKrknJYg7Eb0LQLlDbtt72jT14hxcJOYkGB+vvf&#10;9M6eKEooCw60Wwkzj3vQxJ3qWhJ5L+LRyC2jP5CgX2rTXiv39RJpbWN6QRT3orO1VS/mGusHWv+F&#10;i0YQSE4xE5b24tLSiQB6PrhYLLxMa6fAruVWcefaddN19r55AK269lsa3C322wezV1Nobds5LPYW&#10;89KPyPW37WbXdlpZP+TueXFvwsuzt3p+BOe/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flXCkrgIAAEwFAAAOAAAA&#10;AAAAAAAAAAAAAC4CAABkcnMvZTJvRG9jLnhtbFBLAQItABQABgAIAAAAIQBIDV6a3wAAAAsBAAAP&#10;AAAAAAAAAAAAAAAAAAgFAABkcnMvZG93bnJldi54bWxQSwUGAAAAAAQABADzAAAAFAYAAAAA&#10;">
              <v:textbox inset=",0,,0">
                <w:txbxContent>
                  <w:p w:rsidRPr="002E1D59" w:rsidR="002E1D59" w:rsidP="002E1D59" w:rsidRDefault="002E1D59" w14:paraId="01EF8A83" w14:textId="70B583B2">
                    <w:pPr>
                      <w:jc w:val="center"/>
                      <w:rPr>
                        <w:rFonts w:ascii="Arial Black" w:hAnsi="Arial Black"/>
                        <w:color w:val="000000"/>
                      </w:rPr>
                    </w:pPr>
                    <w:r w:rsidRPr="002E1D59">
                      <w:rPr>
                        <w:rFonts w:ascii="Arial Black" w:hAnsi="Arial Black"/>
                        <w:color w:val="000000"/>
                      </w:rPr>
                      <w:t>OFFICIAL</w:t>
                    </w:r>
                  </w:p>
                </w:txbxContent>
              </v:textbox>
              <w10:wrap anchorx="page" anchory="page"/>
            </v:shape>
          </w:pict>
        </mc:Fallback>
      </mc:AlternateContent>
    </w:r>
    <w:r w:rsidR="000225CA">
      <w:t>Privacy</w:t>
    </w:r>
    <w:r w:rsidR="00D26AD2">
      <w:t xml:space="preserve"> policy</w:t>
    </w:r>
  </w:p>
  <w:p w14:paraId="4BCDA52B" w14:textId="0BBBD22F" w:rsidR="009D70A4" w:rsidRPr="00A11421" w:rsidRDefault="00EA5C95" w:rsidP="00D87170">
    <w:pPr>
      <w:pStyle w:val="Footer"/>
    </w:pPr>
    <w:r>
      <w:t xml:space="preserve">Page </w:t>
    </w:r>
    <w:r w:rsidRPr="00D87170">
      <w:rPr>
        <w:sz w:val="24"/>
        <w:szCs w:val="24"/>
      </w:rPr>
      <w:fldChar w:fldCharType="begin"/>
    </w:r>
    <w:r w:rsidRPr="00D87170">
      <w:instrText xml:space="preserve"> PAGE </w:instrText>
    </w:r>
    <w:r w:rsidRPr="00D87170">
      <w:rPr>
        <w:sz w:val="24"/>
        <w:szCs w:val="24"/>
      </w:rPr>
      <w:fldChar w:fldCharType="separate"/>
    </w:r>
    <w:r w:rsidRPr="00D87170">
      <w:rPr>
        <w:noProof/>
      </w:rPr>
      <w:t>2</w:t>
    </w:r>
    <w:r w:rsidRPr="00D87170">
      <w:rPr>
        <w:sz w:val="24"/>
        <w:szCs w:val="24"/>
      </w:rPr>
      <w:fldChar w:fldCharType="end"/>
    </w:r>
    <w:r w:rsidRPr="00D26AD2">
      <w:t xml:space="preserve"> of </w:t>
    </w:r>
    <w:r>
      <w:fldChar w:fldCharType="begin"/>
    </w:r>
    <w:r>
      <w:instrText>NUMPAGES</w:instrText>
    </w:r>
    <w:r>
      <w:fldChar w:fldCharType="separate"/>
    </w:r>
    <w:r w:rsidRPr="00D871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3C8A6" w14:textId="77777777" w:rsidR="00CC5BE7" w:rsidRDefault="00CC5BE7" w:rsidP="002862F1">
      <w:pPr>
        <w:spacing w:before="120"/>
      </w:pPr>
      <w:r>
        <w:separator/>
      </w:r>
    </w:p>
  </w:footnote>
  <w:footnote w:type="continuationSeparator" w:id="0">
    <w:p w14:paraId="28979EE4" w14:textId="77777777" w:rsidR="00CC5BE7" w:rsidRDefault="00CC5BE7">
      <w:r>
        <w:continuationSeparator/>
      </w:r>
    </w:p>
  </w:footnote>
  <w:footnote w:type="continuationNotice" w:id="1">
    <w:p w14:paraId="25FB3BEF" w14:textId="77777777" w:rsidR="00CC5BE7" w:rsidRDefault="00CC5B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1C279" w14:textId="77777777" w:rsidR="009D70A4" w:rsidRPr="0051568D" w:rsidRDefault="009D70A4" w:rsidP="0051568D">
    <w:pPr>
      <w:pStyle w:val="VDWC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3BAE0CF2"/>
    <w:numStyleLink w:val="ZZNumbersloweralpha"/>
  </w:abstractNum>
  <w:abstractNum w:abstractNumId="2" w15:restartNumberingAfterBreak="0">
    <w:nsid w:val="0B8D43DB"/>
    <w:multiLevelType w:val="multilevel"/>
    <w:tmpl w:val="7F240E1A"/>
    <w:numStyleLink w:val="ZZNumbersdigit"/>
  </w:abstractNum>
  <w:abstractNum w:abstractNumId="3" w15:restartNumberingAfterBreak="0">
    <w:nsid w:val="0BAD2E30"/>
    <w:multiLevelType w:val="multilevel"/>
    <w:tmpl w:val="3BAE0CF2"/>
    <w:styleLink w:val="ZZNumbersloweralpha"/>
    <w:lvl w:ilvl="0">
      <w:start w:val="1"/>
      <w:numFmt w:val="lowerLetter"/>
      <w:pStyle w:val="VDWCnumberloweralpha"/>
      <w:lvlText w:val="(%1)"/>
      <w:lvlJc w:val="left"/>
      <w:pPr>
        <w:tabs>
          <w:tab w:val="num" w:pos="397"/>
        </w:tabs>
        <w:ind w:left="397" w:hanging="397"/>
      </w:pPr>
      <w:rPr>
        <w:rFonts w:hint="default"/>
      </w:rPr>
    </w:lvl>
    <w:lvl w:ilvl="1">
      <w:start w:val="1"/>
      <w:numFmt w:val="lowerLetter"/>
      <w:pStyle w:val="VDW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31F4B0D"/>
    <w:multiLevelType w:val="multilevel"/>
    <w:tmpl w:val="0ADC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D36556"/>
    <w:multiLevelType w:val="hybridMultilevel"/>
    <w:tmpl w:val="9E56F4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FE5DDE"/>
    <w:multiLevelType w:val="hybridMultilevel"/>
    <w:tmpl w:val="BFF24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BD6639"/>
    <w:multiLevelType w:val="hybridMultilevel"/>
    <w:tmpl w:val="D2D6F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96CDA"/>
    <w:multiLevelType w:val="multilevel"/>
    <w:tmpl w:val="4EB04746"/>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7F240E1A"/>
    <w:styleLink w:val="ZZNumbersdigit"/>
    <w:lvl w:ilvl="0">
      <w:start w:val="1"/>
      <w:numFmt w:val="decimal"/>
      <w:pStyle w:val="VDWCnumberdigit"/>
      <w:lvlText w:val="%1."/>
      <w:lvlJc w:val="left"/>
      <w:pPr>
        <w:tabs>
          <w:tab w:val="num" w:pos="397"/>
        </w:tabs>
        <w:ind w:left="397" w:hanging="397"/>
      </w:pPr>
      <w:rPr>
        <w:rFonts w:hint="default"/>
      </w:rPr>
    </w:lvl>
    <w:lvl w:ilvl="1">
      <w:start w:val="1"/>
      <w:numFmt w:val="decimal"/>
      <w:pStyle w:val="VDWCnumberdigitindent"/>
      <w:lvlText w:val="%2."/>
      <w:lvlJc w:val="left"/>
      <w:pPr>
        <w:tabs>
          <w:tab w:val="num" w:pos="794"/>
        </w:tabs>
        <w:ind w:left="794" w:hanging="397"/>
      </w:pPr>
      <w:rPr>
        <w:rFonts w:hint="default"/>
      </w:rPr>
    </w:lvl>
    <w:lvl w:ilvl="2">
      <w:start w:val="1"/>
      <w:numFmt w:val="bullet"/>
      <w:lvlRestart w:val="0"/>
      <w:pStyle w:val="VDWCbulletafternumbers1"/>
      <w:lvlText w:val="•"/>
      <w:lvlJc w:val="left"/>
      <w:pPr>
        <w:ind w:left="794" w:hanging="397"/>
      </w:pPr>
      <w:rPr>
        <w:rFonts w:ascii="Calibri" w:hAnsi="Calibri" w:hint="default"/>
        <w:color w:val="auto"/>
      </w:rPr>
    </w:lvl>
    <w:lvl w:ilvl="3">
      <w:start w:val="1"/>
      <w:numFmt w:val="bullet"/>
      <w:lvlRestart w:val="0"/>
      <w:pStyle w:val="VDWC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7CA67F02"/>
    <w:styleLink w:val="ZZNumberslowerroman"/>
    <w:lvl w:ilvl="0">
      <w:start w:val="1"/>
      <w:numFmt w:val="lowerRoman"/>
      <w:pStyle w:val="VDWCnumberlowerroman"/>
      <w:lvlText w:val="(%1)"/>
      <w:lvlJc w:val="left"/>
      <w:pPr>
        <w:tabs>
          <w:tab w:val="num" w:pos="397"/>
        </w:tabs>
        <w:ind w:left="397" w:hanging="397"/>
      </w:pPr>
      <w:rPr>
        <w:rFonts w:hint="default"/>
      </w:rPr>
    </w:lvl>
    <w:lvl w:ilvl="1">
      <w:start w:val="1"/>
      <w:numFmt w:val="lowerRoman"/>
      <w:pStyle w:val="VDW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1611C2"/>
    <w:multiLevelType w:val="multilevel"/>
    <w:tmpl w:val="BB346DCC"/>
    <w:styleLink w:val="ZZTablebullets"/>
    <w:lvl w:ilvl="0">
      <w:start w:val="1"/>
      <w:numFmt w:val="bullet"/>
      <w:pStyle w:val="VDWCtablebullet1"/>
      <w:lvlText w:val="•"/>
      <w:lvlJc w:val="left"/>
      <w:pPr>
        <w:ind w:left="227" w:hanging="227"/>
      </w:pPr>
      <w:rPr>
        <w:rFonts w:ascii="Calibri" w:hAnsi="Calibri" w:hint="default"/>
      </w:rPr>
    </w:lvl>
    <w:lvl w:ilvl="1">
      <w:start w:val="1"/>
      <w:numFmt w:val="bullet"/>
      <w:lvlRestart w:val="0"/>
      <w:pStyle w:val="VDWC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015A1E92"/>
    <w:styleLink w:val="ZZBullets"/>
    <w:lvl w:ilvl="0">
      <w:start w:val="1"/>
      <w:numFmt w:val="bullet"/>
      <w:pStyle w:val="VDWCbullet1"/>
      <w:lvlText w:val="•"/>
      <w:lvlJc w:val="left"/>
      <w:pPr>
        <w:ind w:left="284" w:hanging="284"/>
      </w:pPr>
      <w:rPr>
        <w:rFonts w:ascii="Calibri" w:hAnsi="Calibri" w:hint="default"/>
      </w:rPr>
    </w:lvl>
    <w:lvl w:ilvl="1">
      <w:start w:val="1"/>
      <w:numFmt w:val="bullet"/>
      <w:lvlRestart w:val="0"/>
      <w:pStyle w:val="VDWC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309259F"/>
    <w:multiLevelType w:val="multilevel"/>
    <w:tmpl w:val="48EC0E2A"/>
    <w:styleLink w:val="ZZQuotebullets"/>
    <w:lvl w:ilvl="0">
      <w:start w:val="1"/>
      <w:numFmt w:val="bullet"/>
      <w:pStyle w:val="VDWCquotebullet1"/>
      <w:lvlText w:val="•"/>
      <w:lvlJc w:val="left"/>
      <w:pPr>
        <w:ind w:left="680" w:hanging="283"/>
      </w:pPr>
      <w:rPr>
        <w:rFonts w:ascii="Calibri" w:hAnsi="Calibri" w:hint="default"/>
        <w:color w:val="auto"/>
      </w:rPr>
    </w:lvl>
    <w:lvl w:ilvl="1">
      <w:start w:val="1"/>
      <w:numFmt w:val="bullet"/>
      <w:lvlRestart w:val="0"/>
      <w:pStyle w:val="VDWC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2"/>
  </w:num>
  <w:num w:numId="25">
    <w:abstractNumId w:val="12"/>
  </w:num>
  <w:num w:numId="26">
    <w:abstractNumId w:val="12"/>
  </w:num>
  <w:num w:numId="27">
    <w:abstractNumId w:val="7"/>
  </w:num>
  <w:num w:numId="28">
    <w:abstractNumId w:val="5"/>
  </w:num>
  <w:num w:numId="2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5C"/>
    <w:rsid w:val="00004391"/>
    <w:rsid w:val="000072B6"/>
    <w:rsid w:val="0001021B"/>
    <w:rsid w:val="00011D89"/>
    <w:rsid w:val="00012E11"/>
    <w:rsid w:val="000154FD"/>
    <w:rsid w:val="000225CA"/>
    <w:rsid w:val="00024D89"/>
    <w:rsid w:val="000250B6"/>
    <w:rsid w:val="00033D81"/>
    <w:rsid w:val="00041BF0"/>
    <w:rsid w:val="0004536B"/>
    <w:rsid w:val="00046B68"/>
    <w:rsid w:val="000527DD"/>
    <w:rsid w:val="000578B2"/>
    <w:rsid w:val="00060959"/>
    <w:rsid w:val="0006426A"/>
    <w:rsid w:val="000663CD"/>
    <w:rsid w:val="000733FE"/>
    <w:rsid w:val="00074219"/>
    <w:rsid w:val="00074ED5"/>
    <w:rsid w:val="0008508E"/>
    <w:rsid w:val="0009113B"/>
    <w:rsid w:val="00093402"/>
    <w:rsid w:val="00094DA3"/>
    <w:rsid w:val="00095E83"/>
    <w:rsid w:val="00096CD1"/>
    <w:rsid w:val="000A012C"/>
    <w:rsid w:val="000A0EB9"/>
    <w:rsid w:val="000A186C"/>
    <w:rsid w:val="000A1EA4"/>
    <w:rsid w:val="000B3E19"/>
    <w:rsid w:val="000B3EDB"/>
    <w:rsid w:val="000B543D"/>
    <w:rsid w:val="000B5BF7"/>
    <w:rsid w:val="000B6575"/>
    <w:rsid w:val="000B6B1E"/>
    <w:rsid w:val="000B6BC8"/>
    <w:rsid w:val="000C0303"/>
    <w:rsid w:val="000C13E8"/>
    <w:rsid w:val="000C42EA"/>
    <w:rsid w:val="000C4546"/>
    <w:rsid w:val="000D1242"/>
    <w:rsid w:val="000D59D2"/>
    <w:rsid w:val="000E0970"/>
    <w:rsid w:val="000E3CC7"/>
    <w:rsid w:val="000E6BD4"/>
    <w:rsid w:val="000F1F1E"/>
    <w:rsid w:val="000F2259"/>
    <w:rsid w:val="000F5276"/>
    <w:rsid w:val="0010392D"/>
    <w:rsid w:val="0010447F"/>
    <w:rsid w:val="00104FE3"/>
    <w:rsid w:val="00113E0F"/>
    <w:rsid w:val="001208BE"/>
    <w:rsid w:val="00120BD3"/>
    <w:rsid w:val="00122FEA"/>
    <w:rsid w:val="001232BD"/>
    <w:rsid w:val="00124ED5"/>
    <w:rsid w:val="001276FA"/>
    <w:rsid w:val="0013601C"/>
    <w:rsid w:val="001411E6"/>
    <w:rsid w:val="00141A99"/>
    <w:rsid w:val="001431D1"/>
    <w:rsid w:val="001447B3"/>
    <w:rsid w:val="00145C35"/>
    <w:rsid w:val="00152073"/>
    <w:rsid w:val="00156598"/>
    <w:rsid w:val="00161939"/>
    <w:rsid w:val="00161AA0"/>
    <w:rsid w:val="00161C73"/>
    <w:rsid w:val="00162093"/>
    <w:rsid w:val="0016755D"/>
    <w:rsid w:val="00170F02"/>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C3DE1"/>
    <w:rsid w:val="001C5C5A"/>
    <w:rsid w:val="001D0B75"/>
    <w:rsid w:val="001D3C09"/>
    <w:rsid w:val="001D44E8"/>
    <w:rsid w:val="001D5D07"/>
    <w:rsid w:val="001D60EC"/>
    <w:rsid w:val="001E44DF"/>
    <w:rsid w:val="001E68A5"/>
    <w:rsid w:val="001E6BB0"/>
    <w:rsid w:val="001F3826"/>
    <w:rsid w:val="001F64C3"/>
    <w:rsid w:val="001F6E46"/>
    <w:rsid w:val="001F7C91"/>
    <w:rsid w:val="00206463"/>
    <w:rsid w:val="00206F2F"/>
    <w:rsid w:val="0021053D"/>
    <w:rsid w:val="00210A92"/>
    <w:rsid w:val="00210BE9"/>
    <w:rsid w:val="00216C03"/>
    <w:rsid w:val="00220C04"/>
    <w:rsid w:val="0022278D"/>
    <w:rsid w:val="0022701F"/>
    <w:rsid w:val="002333F5"/>
    <w:rsid w:val="00233724"/>
    <w:rsid w:val="002432E1"/>
    <w:rsid w:val="00244CE5"/>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2A3A"/>
    <w:rsid w:val="00285F34"/>
    <w:rsid w:val="002862F1"/>
    <w:rsid w:val="00291373"/>
    <w:rsid w:val="00293995"/>
    <w:rsid w:val="0029597D"/>
    <w:rsid w:val="002962C3"/>
    <w:rsid w:val="0029752B"/>
    <w:rsid w:val="002A483C"/>
    <w:rsid w:val="002B0C7C"/>
    <w:rsid w:val="002B1729"/>
    <w:rsid w:val="002B36C7"/>
    <w:rsid w:val="002B4DD4"/>
    <w:rsid w:val="002B5277"/>
    <w:rsid w:val="002B5375"/>
    <w:rsid w:val="002B77C1"/>
    <w:rsid w:val="002C2728"/>
    <w:rsid w:val="002D3373"/>
    <w:rsid w:val="002D5006"/>
    <w:rsid w:val="002E01D0"/>
    <w:rsid w:val="002E161D"/>
    <w:rsid w:val="002E1D59"/>
    <w:rsid w:val="002E3100"/>
    <w:rsid w:val="002E6C95"/>
    <w:rsid w:val="002E7C36"/>
    <w:rsid w:val="002F4242"/>
    <w:rsid w:val="002F5F31"/>
    <w:rsid w:val="002F5F46"/>
    <w:rsid w:val="00302216"/>
    <w:rsid w:val="00303E53"/>
    <w:rsid w:val="003060C9"/>
    <w:rsid w:val="00306E5F"/>
    <w:rsid w:val="00307E14"/>
    <w:rsid w:val="00314054"/>
    <w:rsid w:val="00315EC2"/>
    <w:rsid w:val="00316F27"/>
    <w:rsid w:val="003178A5"/>
    <w:rsid w:val="00322E4B"/>
    <w:rsid w:val="0032528D"/>
    <w:rsid w:val="00327870"/>
    <w:rsid w:val="0033259D"/>
    <w:rsid w:val="003333D2"/>
    <w:rsid w:val="00335C6E"/>
    <w:rsid w:val="003406C6"/>
    <w:rsid w:val="003418CC"/>
    <w:rsid w:val="003459BD"/>
    <w:rsid w:val="00347B66"/>
    <w:rsid w:val="00350D38"/>
    <w:rsid w:val="00351B36"/>
    <w:rsid w:val="00357B4E"/>
    <w:rsid w:val="003716FD"/>
    <w:rsid w:val="0037204B"/>
    <w:rsid w:val="003744CF"/>
    <w:rsid w:val="00374717"/>
    <w:rsid w:val="003750B6"/>
    <w:rsid w:val="0037676C"/>
    <w:rsid w:val="0037736E"/>
    <w:rsid w:val="00381043"/>
    <w:rsid w:val="003829E5"/>
    <w:rsid w:val="00385F90"/>
    <w:rsid w:val="003956CC"/>
    <w:rsid w:val="00395C9A"/>
    <w:rsid w:val="003A54D6"/>
    <w:rsid w:val="003A67DD"/>
    <w:rsid w:val="003A6B67"/>
    <w:rsid w:val="003B13B6"/>
    <w:rsid w:val="003B15E6"/>
    <w:rsid w:val="003C08A2"/>
    <w:rsid w:val="003C2045"/>
    <w:rsid w:val="003C43A1"/>
    <w:rsid w:val="003C4FC0"/>
    <w:rsid w:val="003C55F4"/>
    <w:rsid w:val="003C7897"/>
    <w:rsid w:val="003C7A3F"/>
    <w:rsid w:val="003D2766"/>
    <w:rsid w:val="003D3E8F"/>
    <w:rsid w:val="003D5CF2"/>
    <w:rsid w:val="003D6475"/>
    <w:rsid w:val="003E2E20"/>
    <w:rsid w:val="003E375C"/>
    <w:rsid w:val="003E4086"/>
    <w:rsid w:val="003E410A"/>
    <w:rsid w:val="003F0445"/>
    <w:rsid w:val="003F0CF0"/>
    <w:rsid w:val="003F14B1"/>
    <w:rsid w:val="003F1BE7"/>
    <w:rsid w:val="003F3289"/>
    <w:rsid w:val="003F66B4"/>
    <w:rsid w:val="00400E6E"/>
    <w:rsid w:val="004013C7"/>
    <w:rsid w:val="00401FCF"/>
    <w:rsid w:val="00402D4D"/>
    <w:rsid w:val="00406285"/>
    <w:rsid w:val="004148F9"/>
    <w:rsid w:val="0042084E"/>
    <w:rsid w:val="00421EEF"/>
    <w:rsid w:val="00424D65"/>
    <w:rsid w:val="00442C6C"/>
    <w:rsid w:val="00443070"/>
    <w:rsid w:val="00443CBE"/>
    <w:rsid w:val="00443E8A"/>
    <w:rsid w:val="004441BC"/>
    <w:rsid w:val="004468B4"/>
    <w:rsid w:val="00450649"/>
    <w:rsid w:val="0045230A"/>
    <w:rsid w:val="004544DA"/>
    <w:rsid w:val="00457337"/>
    <w:rsid w:val="00460496"/>
    <w:rsid w:val="00460FC1"/>
    <w:rsid w:val="00461062"/>
    <w:rsid w:val="0046181E"/>
    <w:rsid w:val="00461AA4"/>
    <w:rsid w:val="0047372D"/>
    <w:rsid w:val="00473BA3"/>
    <w:rsid w:val="004743DD"/>
    <w:rsid w:val="00474CEA"/>
    <w:rsid w:val="00483968"/>
    <w:rsid w:val="004844E5"/>
    <w:rsid w:val="00484F86"/>
    <w:rsid w:val="00490746"/>
    <w:rsid w:val="00490852"/>
    <w:rsid w:val="00492F30"/>
    <w:rsid w:val="004946F4"/>
    <w:rsid w:val="0049487E"/>
    <w:rsid w:val="00497683"/>
    <w:rsid w:val="004A160D"/>
    <w:rsid w:val="004A3E81"/>
    <w:rsid w:val="004A5C62"/>
    <w:rsid w:val="004A707D"/>
    <w:rsid w:val="004B52B5"/>
    <w:rsid w:val="004C6EEE"/>
    <w:rsid w:val="004C702B"/>
    <w:rsid w:val="004D0033"/>
    <w:rsid w:val="004D016B"/>
    <w:rsid w:val="004D1B22"/>
    <w:rsid w:val="004D36F2"/>
    <w:rsid w:val="004D5E89"/>
    <w:rsid w:val="004E1106"/>
    <w:rsid w:val="004E138F"/>
    <w:rsid w:val="004E28D2"/>
    <w:rsid w:val="004E43F0"/>
    <w:rsid w:val="004E4649"/>
    <w:rsid w:val="004E5C2B"/>
    <w:rsid w:val="004E6026"/>
    <w:rsid w:val="004F00DD"/>
    <w:rsid w:val="004F2133"/>
    <w:rsid w:val="004F38EB"/>
    <w:rsid w:val="004F55F1"/>
    <w:rsid w:val="004F6936"/>
    <w:rsid w:val="00500F50"/>
    <w:rsid w:val="00503DC6"/>
    <w:rsid w:val="00504D90"/>
    <w:rsid w:val="00506F34"/>
    <w:rsid w:val="00506F5D"/>
    <w:rsid w:val="00510C37"/>
    <w:rsid w:val="005126D0"/>
    <w:rsid w:val="0051568D"/>
    <w:rsid w:val="00521E7A"/>
    <w:rsid w:val="00526953"/>
    <w:rsid w:val="00526C15"/>
    <w:rsid w:val="00536499"/>
    <w:rsid w:val="0053696F"/>
    <w:rsid w:val="00543903"/>
    <w:rsid w:val="00543F11"/>
    <w:rsid w:val="00546305"/>
    <w:rsid w:val="00547A95"/>
    <w:rsid w:val="00552F7A"/>
    <w:rsid w:val="005545CD"/>
    <w:rsid w:val="005716D1"/>
    <w:rsid w:val="00572031"/>
    <w:rsid w:val="00572282"/>
    <w:rsid w:val="005737D5"/>
    <w:rsid w:val="00576E84"/>
    <w:rsid w:val="00582B8C"/>
    <w:rsid w:val="00583D93"/>
    <w:rsid w:val="0058757E"/>
    <w:rsid w:val="00592851"/>
    <w:rsid w:val="00596A4B"/>
    <w:rsid w:val="00597507"/>
    <w:rsid w:val="005A3144"/>
    <w:rsid w:val="005B1C6D"/>
    <w:rsid w:val="005B21B6"/>
    <w:rsid w:val="005B3A08"/>
    <w:rsid w:val="005B4645"/>
    <w:rsid w:val="005B47CB"/>
    <w:rsid w:val="005B7427"/>
    <w:rsid w:val="005B7A63"/>
    <w:rsid w:val="005C0955"/>
    <w:rsid w:val="005C49DA"/>
    <w:rsid w:val="005C50F3"/>
    <w:rsid w:val="005C54B5"/>
    <w:rsid w:val="005C5D80"/>
    <w:rsid w:val="005C5D91"/>
    <w:rsid w:val="005D07B8"/>
    <w:rsid w:val="005D6597"/>
    <w:rsid w:val="005E14E7"/>
    <w:rsid w:val="005E26A3"/>
    <w:rsid w:val="005E286A"/>
    <w:rsid w:val="005E447E"/>
    <w:rsid w:val="005E48C9"/>
    <w:rsid w:val="005F036D"/>
    <w:rsid w:val="005F0775"/>
    <w:rsid w:val="005F0CF5"/>
    <w:rsid w:val="005F21EB"/>
    <w:rsid w:val="005F270A"/>
    <w:rsid w:val="00605908"/>
    <w:rsid w:val="00610D7C"/>
    <w:rsid w:val="00613414"/>
    <w:rsid w:val="00615E40"/>
    <w:rsid w:val="00620154"/>
    <w:rsid w:val="006232C1"/>
    <w:rsid w:val="00623C8C"/>
    <w:rsid w:val="0062408D"/>
    <w:rsid w:val="006240CC"/>
    <w:rsid w:val="006254F8"/>
    <w:rsid w:val="00627DA7"/>
    <w:rsid w:val="006358B4"/>
    <w:rsid w:val="006419AA"/>
    <w:rsid w:val="00644B1F"/>
    <w:rsid w:val="00644B7E"/>
    <w:rsid w:val="006454E6"/>
    <w:rsid w:val="00646235"/>
    <w:rsid w:val="00646A68"/>
    <w:rsid w:val="006505BD"/>
    <w:rsid w:val="0065092E"/>
    <w:rsid w:val="00650B52"/>
    <w:rsid w:val="006533FC"/>
    <w:rsid w:val="006557A7"/>
    <w:rsid w:val="00656290"/>
    <w:rsid w:val="006621D7"/>
    <w:rsid w:val="0066302A"/>
    <w:rsid w:val="00667770"/>
    <w:rsid w:val="00670597"/>
    <w:rsid w:val="006706D0"/>
    <w:rsid w:val="00677574"/>
    <w:rsid w:val="00677F8E"/>
    <w:rsid w:val="0068033A"/>
    <w:rsid w:val="0068454C"/>
    <w:rsid w:val="00690B8D"/>
    <w:rsid w:val="00691B62"/>
    <w:rsid w:val="006933B5"/>
    <w:rsid w:val="00693D14"/>
    <w:rsid w:val="00697EE9"/>
    <w:rsid w:val="006A18C2"/>
    <w:rsid w:val="006A677E"/>
    <w:rsid w:val="006B077C"/>
    <w:rsid w:val="006B6803"/>
    <w:rsid w:val="006C58D2"/>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3611C"/>
    <w:rsid w:val="00740F22"/>
    <w:rsid w:val="00741F1A"/>
    <w:rsid w:val="00742CEC"/>
    <w:rsid w:val="007450F8"/>
    <w:rsid w:val="0074696E"/>
    <w:rsid w:val="00750135"/>
    <w:rsid w:val="00750EC2"/>
    <w:rsid w:val="00752B28"/>
    <w:rsid w:val="00754E36"/>
    <w:rsid w:val="00763139"/>
    <w:rsid w:val="00770F37"/>
    <w:rsid w:val="007710A8"/>
    <w:rsid w:val="007711A0"/>
    <w:rsid w:val="00772C9D"/>
    <w:rsid w:val="00772D5E"/>
    <w:rsid w:val="00773B37"/>
    <w:rsid w:val="00776928"/>
    <w:rsid w:val="00777240"/>
    <w:rsid w:val="00782348"/>
    <w:rsid w:val="00785677"/>
    <w:rsid w:val="007857CF"/>
    <w:rsid w:val="00786F16"/>
    <w:rsid w:val="0078722D"/>
    <w:rsid w:val="00787E11"/>
    <w:rsid w:val="00791BD7"/>
    <w:rsid w:val="007933F7"/>
    <w:rsid w:val="00796E20"/>
    <w:rsid w:val="00797C32"/>
    <w:rsid w:val="007A11E8"/>
    <w:rsid w:val="007A3D3F"/>
    <w:rsid w:val="007A530D"/>
    <w:rsid w:val="007B0159"/>
    <w:rsid w:val="007B0914"/>
    <w:rsid w:val="007B1374"/>
    <w:rsid w:val="007B384C"/>
    <w:rsid w:val="007B589F"/>
    <w:rsid w:val="007B6186"/>
    <w:rsid w:val="007B6F14"/>
    <w:rsid w:val="007B73BC"/>
    <w:rsid w:val="007C20B9"/>
    <w:rsid w:val="007C7301"/>
    <w:rsid w:val="007C7859"/>
    <w:rsid w:val="007D2BDE"/>
    <w:rsid w:val="007D2FB6"/>
    <w:rsid w:val="007D49EB"/>
    <w:rsid w:val="007D5B7C"/>
    <w:rsid w:val="007E0DE2"/>
    <w:rsid w:val="007E3B98"/>
    <w:rsid w:val="007E417A"/>
    <w:rsid w:val="007F155F"/>
    <w:rsid w:val="007F31B6"/>
    <w:rsid w:val="007F540E"/>
    <w:rsid w:val="007F546C"/>
    <w:rsid w:val="007F5D3B"/>
    <w:rsid w:val="007F625F"/>
    <w:rsid w:val="007F665E"/>
    <w:rsid w:val="00800412"/>
    <w:rsid w:val="0080587B"/>
    <w:rsid w:val="00806468"/>
    <w:rsid w:val="008155F0"/>
    <w:rsid w:val="00816735"/>
    <w:rsid w:val="00817F76"/>
    <w:rsid w:val="00820141"/>
    <w:rsid w:val="00820E0C"/>
    <w:rsid w:val="0082366F"/>
    <w:rsid w:val="00826F5D"/>
    <w:rsid w:val="008275C5"/>
    <w:rsid w:val="008333C0"/>
    <w:rsid w:val="008338A2"/>
    <w:rsid w:val="00837DE5"/>
    <w:rsid w:val="008405F1"/>
    <w:rsid w:val="00841AA9"/>
    <w:rsid w:val="00853EE4"/>
    <w:rsid w:val="00855535"/>
    <w:rsid w:val="00857C5A"/>
    <w:rsid w:val="0086255E"/>
    <w:rsid w:val="008633F0"/>
    <w:rsid w:val="00867D9D"/>
    <w:rsid w:val="0087153B"/>
    <w:rsid w:val="00872E0A"/>
    <w:rsid w:val="00875285"/>
    <w:rsid w:val="00875787"/>
    <w:rsid w:val="00884B62"/>
    <w:rsid w:val="0088529C"/>
    <w:rsid w:val="00886B3F"/>
    <w:rsid w:val="00887903"/>
    <w:rsid w:val="00892511"/>
    <w:rsid w:val="0089270A"/>
    <w:rsid w:val="00893AF6"/>
    <w:rsid w:val="00894BC4"/>
    <w:rsid w:val="008A0F96"/>
    <w:rsid w:val="008A28A8"/>
    <w:rsid w:val="008A5B32"/>
    <w:rsid w:val="008B2EE4"/>
    <w:rsid w:val="008B3D68"/>
    <w:rsid w:val="008B4D3D"/>
    <w:rsid w:val="008B57C7"/>
    <w:rsid w:val="008C165F"/>
    <w:rsid w:val="008C2F92"/>
    <w:rsid w:val="008C65D9"/>
    <w:rsid w:val="008D2846"/>
    <w:rsid w:val="008D3B8A"/>
    <w:rsid w:val="008D4236"/>
    <w:rsid w:val="008D462F"/>
    <w:rsid w:val="008D6DCF"/>
    <w:rsid w:val="008E4376"/>
    <w:rsid w:val="008E63BA"/>
    <w:rsid w:val="008E7511"/>
    <w:rsid w:val="008E7A0A"/>
    <w:rsid w:val="008E7B49"/>
    <w:rsid w:val="008F59F6"/>
    <w:rsid w:val="00900719"/>
    <w:rsid w:val="009017AC"/>
    <w:rsid w:val="00903289"/>
    <w:rsid w:val="00904A1C"/>
    <w:rsid w:val="00905030"/>
    <w:rsid w:val="00906490"/>
    <w:rsid w:val="009111B2"/>
    <w:rsid w:val="00924AE1"/>
    <w:rsid w:val="009269B1"/>
    <w:rsid w:val="0092724D"/>
    <w:rsid w:val="0093338F"/>
    <w:rsid w:val="009333CA"/>
    <w:rsid w:val="00937BD9"/>
    <w:rsid w:val="00950E2C"/>
    <w:rsid w:val="00951D50"/>
    <w:rsid w:val="009525EB"/>
    <w:rsid w:val="00954874"/>
    <w:rsid w:val="00956558"/>
    <w:rsid w:val="00961400"/>
    <w:rsid w:val="00963646"/>
    <w:rsid w:val="0096632D"/>
    <w:rsid w:val="0096775D"/>
    <w:rsid w:val="0097559F"/>
    <w:rsid w:val="009853E1"/>
    <w:rsid w:val="00985629"/>
    <w:rsid w:val="00986E6B"/>
    <w:rsid w:val="00991769"/>
    <w:rsid w:val="0099215C"/>
    <w:rsid w:val="00994386"/>
    <w:rsid w:val="00997350"/>
    <w:rsid w:val="009A13D8"/>
    <w:rsid w:val="009A279E"/>
    <w:rsid w:val="009A4E24"/>
    <w:rsid w:val="009B0A6F"/>
    <w:rsid w:val="009B0A94"/>
    <w:rsid w:val="009B29EE"/>
    <w:rsid w:val="009B31B4"/>
    <w:rsid w:val="009B59E9"/>
    <w:rsid w:val="009B70AA"/>
    <w:rsid w:val="009C58FA"/>
    <w:rsid w:val="009C5E77"/>
    <w:rsid w:val="009C7A7E"/>
    <w:rsid w:val="009D02E8"/>
    <w:rsid w:val="009D51D0"/>
    <w:rsid w:val="009D65D1"/>
    <w:rsid w:val="009D70A4"/>
    <w:rsid w:val="009E08D1"/>
    <w:rsid w:val="009E1B95"/>
    <w:rsid w:val="009E496F"/>
    <w:rsid w:val="009E4B0D"/>
    <w:rsid w:val="009E6528"/>
    <w:rsid w:val="009E7F92"/>
    <w:rsid w:val="009F02A3"/>
    <w:rsid w:val="009F171A"/>
    <w:rsid w:val="009F2F27"/>
    <w:rsid w:val="009F34AA"/>
    <w:rsid w:val="009F35F7"/>
    <w:rsid w:val="009F6BCB"/>
    <w:rsid w:val="009F7B78"/>
    <w:rsid w:val="00A0057A"/>
    <w:rsid w:val="00A0776B"/>
    <w:rsid w:val="00A11421"/>
    <w:rsid w:val="00A157B1"/>
    <w:rsid w:val="00A20138"/>
    <w:rsid w:val="00A22229"/>
    <w:rsid w:val="00A330BB"/>
    <w:rsid w:val="00A44882"/>
    <w:rsid w:val="00A534CF"/>
    <w:rsid w:val="00A54715"/>
    <w:rsid w:val="00A6061C"/>
    <w:rsid w:val="00A62D44"/>
    <w:rsid w:val="00A67263"/>
    <w:rsid w:val="00A7161C"/>
    <w:rsid w:val="00A778E1"/>
    <w:rsid w:val="00A77AA3"/>
    <w:rsid w:val="00A854EB"/>
    <w:rsid w:val="00A86E1A"/>
    <w:rsid w:val="00A872E5"/>
    <w:rsid w:val="00A91406"/>
    <w:rsid w:val="00A93838"/>
    <w:rsid w:val="00A96E65"/>
    <w:rsid w:val="00A97C72"/>
    <w:rsid w:val="00AA42F0"/>
    <w:rsid w:val="00AA63D4"/>
    <w:rsid w:val="00AA6801"/>
    <w:rsid w:val="00AB06E8"/>
    <w:rsid w:val="00AB1CD3"/>
    <w:rsid w:val="00AB352F"/>
    <w:rsid w:val="00AB47FD"/>
    <w:rsid w:val="00AC0751"/>
    <w:rsid w:val="00AC274B"/>
    <w:rsid w:val="00AC35DD"/>
    <w:rsid w:val="00AC4764"/>
    <w:rsid w:val="00AC6D36"/>
    <w:rsid w:val="00AD0BBF"/>
    <w:rsid w:val="00AD0CBA"/>
    <w:rsid w:val="00AD26E2"/>
    <w:rsid w:val="00AD784C"/>
    <w:rsid w:val="00AE126A"/>
    <w:rsid w:val="00AE3005"/>
    <w:rsid w:val="00AE305E"/>
    <w:rsid w:val="00AE3BD5"/>
    <w:rsid w:val="00AE59A0"/>
    <w:rsid w:val="00AF0C57"/>
    <w:rsid w:val="00AF26F3"/>
    <w:rsid w:val="00AF2934"/>
    <w:rsid w:val="00AF5F04"/>
    <w:rsid w:val="00B00672"/>
    <w:rsid w:val="00B01B4D"/>
    <w:rsid w:val="00B06571"/>
    <w:rsid w:val="00B068BA"/>
    <w:rsid w:val="00B07EDF"/>
    <w:rsid w:val="00B13851"/>
    <w:rsid w:val="00B13B1C"/>
    <w:rsid w:val="00B15C0E"/>
    <w:rsid w:val="00B22291"/>
    <w:rsid w:val="00B23F9A"/>
    <w:rsid w:val="00B2417B"/>
    <w:rsid w:val="00B248E9"/>
    <w:rsid w:val="00B24E6F"/>
    <w:rsid w:val="00B26CB5"/>
    <w:rsid w:val="00B2752E"/>
    <w:rsid w:val="00B307CC"/>
    <w:rsid w:val="00B326B7"/>
    <w:rsid w:val="00B431E8"/>
    <w:rsid w:val="00B45141"/>
    <w:rsid w:val="00B475B2"/>
    <w:rsid w:val="00B5273A"/>
    <w:rsid w:val="00B57329"/>
    <w:rsid w:val="00B60E61"/>
    <w:rsid w:val="00B62B50"/>
    <w:rsid w:val="00B635B7"/>
    <w:rsid w:val="00B63AE8"/>
    <w:rsid w:val="00B65950"/>
    <w:rsid w:val="00B66D83"/>
    <w:rsid w:val="00B672C0"/>
    <w:rsid w:val="00B75646"/>
    <w:rsid w:val="00B834D3"/>
    <w:rsid w:val="00B858B0"/>
    <w:rsid w:val="00B90729"/>
    <w:rsid w:val="00B907DA"/>
    <w:rsid w:val="00B9264B"/>
    <w:rsid w:val="00B950BC"/>
    <w:rsid w:val="00B9714C"/>
    <w:rsid w:val="00B97EDE"/>
    <w:rsid w:val="00BA29AD"/>
    <w:rsid w:val="00BA3F8D"/>
    <w:rsid w:val="00BA76D2"/>
    <w:rsid w:val="00BB4FCD"/>
    <w:rsid w:val="00BB7A10"/>
    <w:rsid w:val="00BC7468"/>
    <w:rsid w:val="00BC7D4F"/>
    <w:rsid w:val="00BC7ED7"/>
    <w:rsid w:val="00BD2850"/>
    <w:rsid w:val="00BE28D2"/>
    <w:rsid w:val="00BE4A64"/>
    <w:rsid w:val="00BF557D"/>
    <w:rsid w:val="00BF7F58"/>
    <w:rsid w:val="00C01381"/>
    <w:rsid w:val="00C01AB1"/>
    <w:rsid w:val="00C02D3A"/>
    <w:rsid w:val="00C079B8"/>
    <w:rsid w:val="00C10037"/>
    <w:rsid w:val="00C123EA"/>
    <w:rsid w:val="00C12A49"/>
    <w:rsid w:val="00C133EE"/>
    <w:rsid w:val="00C149D0"/>
    <w:rsid w:val="00C17B0A"/>
    <w:rsid w:val="00C21A63"/>
    <w:rsid w:val="00C22008"/>
    <w:rsid w:val="00C26588"/>
    <w:rsid w:val="00C27DE9"/>
    <w:rsid w:val="00C33388"/>
    <w:rsid w:val="00C35484"/>
    <w:rsid w:val="00C40DB6"/>
    <w:rsid w:val="00C4173A"/>
    <w:rsid w:val="00C42080"/>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00C4"/>
    <w:rsid w:val="00CB2D01"/>
    <w:rsid w:val="00CB3285"/>
    <w:rsid w:val="00CC0C72"/>
    <w:rsid w:val="00CC2BFD"/>
    <w:rsid w:val="00CC5BE7"/>
    <w:rsid w:val="00CD3476"/>
    <w:rsid w:val="00CD4154"/>
    <w:rsid w:val="00CD64DF"/>
    <w:rsid w:val="00CF229B"/>
    <w:rsid w:val="00CF2F50"/>
    <w:rsid w:val="00CF51BA"/>
    <w:rsid w:val="00CF6198"/>
    <w:rsid w:val="00D02919"/>
    <w:rsid w:val="00D04C61"/>
    <w:rsid w:val="00D05B8D"/>
    <w:rsid w:val="00D065A2"/>
    <w:rsid w:val="00D06D39"/>
    <w:rsid w:val="00D07DFE"/>
    <w:rsid w:val="00D07F00"/>
    <w:rsid w:val="00D11ACD"/>
    <w:rsid w:val="00D17B72"/>
    <w:rsid w:val="00D26AD2"/>
    <w:rsid w:val="00D3185C"/>
    <w:rsid w:val="00D3318E"/>
    <w:rsid w:val="00D33E72"/>
    <w:rsid w:val="00D35BD6"/>
    <w:rsid w:val="00D361B5"/>
    <w:rsid w:val="00D411A2"/>
    <w:rsid w:val="00D4606D"/>
    <w:rsid w:val="00D50B9C"/>
    <w:rsid w:val="00D52D73"/>
    <w:rsid w:val="00D52E58"/>
    <w:rsid w:val="00D52E5B"/>
    <w:rsid w:val="00D56B20"/>
    <w:rsid w:val="00D63385"/>
    <w:rsid w:val="00D714CC"/>
    <w:rsid w:val="00D73E7D"/>
    <w:rsid w:val="00D75EA7"/>
    <w:rsid w:val="00D81F21"/>
    <w:rsid w:val="00D87000"/>
    <w:rsid w:val="00D87170"/>
    <w:rsid w:val="00D95470"/>
    <w:rsid w:val="00DA2619"/>
    <w:rsid w:val="00DA4239"/>
    <w:rsid w:val="00DA5205"/>
    <w:rsid w:val="00DA634E"/>
    <w:rsid w:val="00DA6514"/>
    <w:rsid w:val="00DB0B61"/>
    <w:rsid w:val="00DB1474"/>
    <w:rsid w:val="00DB3148"/>
    <w:rsid w:val="00DB52FB"/>
    <w:rsid w:val="00DB563B"/>
    <w:rsid w:val="00DC090B"/>
    <w:rsid w:val="00DC1679"/>
    <w:rsid w:val="00DC2CF1"/>
    <w:rsid w:val="00DC3C49"/>
    <w:rsid w:val="00DC4DDE"/>
    <w:rsid w:val="00DC4FCF"/>
    <w:rsid w:val="00DC50E0"/>
    <w:rsid w:val="00DC6386"/>
    <w:rsid w:val="00DD1130"/>
    <w:rsid w:val="00DD1951"/>
    <w:rsid w:val="00DD6628"/>
    <w:rsid w:val="00DD6945"/>
    <w:rsid w:val="00DE3250"/>
    <w:rsid w:val="00DE6028"/>
    <w:rsid w:val="00DE78A3"/>
    <w:rsid w:val="00DF1A71"/>
    <w:rsid w:val="00DF3B02"/>
    <w:rsid w:val="00DF68C7"/>
    <w:rsid w:val="00DF731A"/>
    <w:rsid w:val="00E11332"/>
    <w:rsid w:val="00E11352"/>
    <w:rsid w:val="00E170DC"/>
    <w:rsid w:val="00E2441C"/>
    <w:rsid w:val="00E26818"/>
    <w:rsid w:val="00E27FFC"/>
    <w:rsid w:val="00E30B15"/>
    <w:rsid w:val="00E372A2"/>
    <w:rsid w:val="00E40181"/>
    <w:rsid w:val="00E467E5"/>
    <w:rsid w:val="00E52772"/>
    <w:rsid w:val="00E56A01"/>
    <w:rsid w:val="00E60D6C"/>
    <w:rsid w:val="00E6192F"/>
    <w:rsid w:val="00E629A1"/>
    <w:rsid w:val="00E62E72"/>
    <w:rsid w:val="00E670DE"/>
    <w:rsid w:val="00E6794C"/>
    <w:rsid w:val="00E71591"/>
    <w:rsid w:val="00E80DE3"/>
    <w:rsid w:val="00E82C55"/>
    <w:rsid w:val="00E86A3F"/>
    <w:rsid w:val="00E87992"/>
    <w:rsid w:val="00E91485"/>
    <w:rsid w:val="00E92AC3"/>
    <w:rsid w:val="00E93B8C"/>
    <w:rsid w:val="00E9789F"/>
    <w:rsid w:val="00EA181E"/>
    <w:rsid w:val="00EA5C95"/>
    <w:rsid w:val="00EB00E0"/>
    <w:rsid w:val="00EC059F"/>
    <w:rsid w:val="00EC1045"/>
    <w:rsid w:val="00EC1F24"/>
    <w:rsid w:val="00EC22F6"/>
    <w:rsid w:val="00ED5B9B"/>
    <w:rsid w:val="00ED5D58"/>
    <w:rsid w:val="00ED6919"/>
    <w:rsid w:val="00ED6BAD"/>
    <w:rsid w:val="00ED7447"/>
    <w:rsid w:val="00EE0131"/>
    <w:rsid w:val="00EE1488"/>
    <w:rsid w:val="00EE3E24"/>
    <w:rsid w:val="00EE4D5D"/>
    <w:rsid w:val="00EE5131"/>
    <w:rsid w:val="00EE7C64"/>
    <w:rsid w:val="00EF109B"/>
    <w:rsid w:val="00EF36AF"/>
    <w:rsid w:val="00F00F9C"/>
    <w:rsid w:val="00F01E5F"/>
    <w:rsid w:val="00F02ABA"/>
    <w:rsid w:val="00F0437A"/>
    <w:rsid w:val="00F11037"/>
    <w:rsid w:val="00F16F1B"/>
    <w:rsid w:val="00F20E83"/>
    <w:rsid w:val="00F250A9"/>
    <w:rsid w:val="00F30FF4"/>
    <w:rsid w:val="00F3122E"/>
    <w:rsid w:val="00F331AD"/>
    <w:rsid w:val="00F34156"/>
    <w:rsid w:val="00F35287"/>
    <w:rsid w:val="00F41734"/>
    <w:rsid w:val="00F43A37"/>
    <w:rsid w:val="00F4641B"/>
    <w:rsid w:val="00F46EB8"/>
    <w:rsid w:val="00F50CD1"/>
    <w:rsid w:val="00F511E4"/>
    <w:rsid w:val="00F52D09"/>
    <w:rsid w:val="00F52E08"/>
    <w:rsid w:val="00F534FC"/>
    <w:rsid w:val="00F55B21"/>
    <w:rsid w:val="00F56EF6"/>
    <w:rsid w:val="00F61A9F"/>
    <w:rsid w:val="00F64696"/>
    <w:rsid w:val="00F65AA9"/>
    <w:rsid w:val="00F6768F"/>
    <w:rsid w:val="00F72C2C"/>
    <w:rsid w:val="00F76CAB"/>
    <w:rsid w:val="00F772C6"/>
    <w:rsid w:val="00F815B5"/>
    <w:rsid w:val="00F82CE1"/>
    <w:rsid w:val="00F85195"/>
    <w:rsid w:val="00F9109A"/>
    <w:rsid w:val="00F938BA"/>
    <w:rsid w:val="00F95770"/>
    <w:rsid w:val="00FA27FA"/>
    <w:rsid w:val="00FA2C46"/>
    <w:rsid w:val="00FA3525"/>
    <w:rsid w:val="00FA5A53"/>
    <w:rsid w:val="00FB4769"/>
    <w:rsid w:val="00FB4CDA"/>
    <w:rsid w:val="00FC0F81"/>
    <w:rsid w:val="00FC395C"/>
    <w:rsid w:val="00FD3766"/>
    <w:rsid w:val="00FD47C4"/>
    <w:rsid w:val="00FE00E9"/>
    <w:rsid w:val="00FE2DCF"/>
    <w:rsid w:val="00FE3FA7"/>
    <w:rsid w:val="00FF24A5"/>
    <w:rsid w:val="00FF2A4E"/>
    <w:rsid w:val="00FF2FCE"/>
    <w:rsid w:val="00FF4F7D"/>
    <w:rsid w:val="00FF6D9D"/>
    <w:rsid w:val="023DDDA7"/>
    <w:rsid w:val="054A3FAC"/>
    <w:rsid w:val="078703D2"/>
    <w:rsid w:val="08250C81"/>
    <w:rsid w:val="0893088E"/>
    <w:rsid w:val="0A3FBFD7"/>
    <w:rsid w:val="0B6B87AD"/>
    <w:rsid w:val="0B7E9D03"/>
    <w:rsid w:val="0C196957"/>
    <w:rsid w:val="0DCD77C5"/>
    <w:rsid w:val="0F2EFDCA"/>
    <w:rsid w:val="0FD42346"/>
    <w:rsid w:val="10E3FF81"/>
    <w:rsid w:val="110D9024"/>
    <w:rsid w:val="122791C5"/>
    <w:rsid w:val="1245C2F7"/>
    <w:rsid w:val="126C3252"/>
    <w:rsid w:val="139A351E"/>
    <w:rsid w:val="13E6A21D"/>
    <w:rsid w:val="14946048"/>
    <w:rsid w:val="1547E3EF"/>
    <w:rsid w:val="15B472C6"/>
    <w:rsid w:val="16592EFA"/>
    <w:rsid w:val="168A790A"/>
    <w:rsid w:val="17E13A96"/>
    <w:rsid w:val="1902FB2B"/>
    <w:rsid w:val="190D8619"/>
    <w:rsid w:val="1994ADD6"/>
    <w:rsid w:val="1C5F8A87"/>
    <w:rsid w:val="1C7948FC"/>
    <w:rsid w:val="1E814756"/>
    <w:rsid w:val="1F218533"/>
    <w:rsid w:val="201F6760"/>
    <w:rsid w:val="205928CC"/>
    <w:rsid w:val="20B20FA2"/>
    <w:rsid w:val="2193C245"/>
    <w:rsid w:val="233E7566"/>
    <w:rsid w:val="2354B879"/>
    <w:rsid w:val="2606402E"/>
    <w:rsid w:val="267237B9"/>
    <w:rsid w:val="29507C8D"/>
    <w:rsid w:val="2A2AEB44"/>
    <w:rsid w:val="2BF715D6"/>
    <w:rsid w:val="2C08DE83"/>
    <w:rsid w:val="2CA92C2E"/>
    <w:rsid w:val="2F67EE1C"/>
    <w:rsid w:val="2FCF337B"/>
    <w:rsid w:val="2FFFF1A2"/>
    <w:rsid w:val="3093BC91"/>
    <w:rsid w:val="30D8247A"/>
    <w:rsid w:val="316B03DC"/>
    <w:rsid w:val="3174AB79"/>
    <w:rsid w:val="31942811"/>
    <w:rsid w:val="322285B9"/>
    <w:rsid w:val="3359A16C"/>
    <w:rsid w:val="3363E717"/>
    <w:rsid w:val="340D3184"/>
    <w:rsid w:val="34A26735"/>
    <w:rsid w:val="366F3326"/>
    <w:rsid w:val="3679B800"/>
    <w:rsid w:val="36C02312"/>
    <w:rsid w:val="37D257DA"/>
    <w:rsid w:val="386A7727"/>
    <w:rsid w:val="39C8E2F0"/>
    <w:rsid w:val="3D6C9810"/>
    <w:rsid w:val="3F88794B"/>
    <w:rsid w:val="410AD184"/>
    <w:rsid w:val="424363EC"/>
    <w:rsid w:val="436B979F"/>
    <w:rsid w:val="43A2DC71"/>
    <w:rsid w:val="44E32F9D"/>
    <w:rsid w:val="457837CB"/>
    <w:rsid w:val="46FCA038"/>
    <w:rsid w:val="48217AE5"/>
    <w:rsid w:val="48AFD88D"/>
    <w:rsid w:val="491DD0EF"/>
    <w:rsid w:val="4ABE4E88"/>
    <w:rsid w:val="4AD5338F"/>
    <w:rsid w:val="4BFD8CE0"/>
    <w:rsid w:val="4BFF1014"/>
    <w:rsid w:val="4C7FFC33"/>
    <w:rsid w:val="4CA3D3E6"/>
    <w:rsid w:val="4D1BAA42"/>
    <w:rsid w:val="4D9AE075"/>
    <w:rsid w:val="4E760F89"/>
    <w:rsid w:val="4F12EBAA"/>
    <w:rsid w:val="4F45C99B"/>
    <w:rsid w:val="4F8D1273"/>
    <w:rsid w:val="4FE1CB88"/>
    <w:rsid w:val="5021064B"/>
    <w:rsid w:val="52639B85"/>
    <w:rsid w:val="54608396"/>
    <w:rsid w:val="54F23208"/>
    <w:rsid w:val="5529C3E1"/>
    <w:rsid w:val="55B767A0"/>
    <w:rsid w:val="56B53319"/>
    <w:rsid w:val="57C2C3FA"/>
    <w:rsid w:val="580EB6E8"/>
    <w:rsid w:val="58A5B0B3"/>
    <w:rsid w:val="58F5509A"/>
    <w:rsid w:val="5AF9651A"/>
    <w:rsid w:val="5BE51F91"/>
    <w:rsid w:val="5C49DA07"/>
    <w:rsid w:val="5E539D02"/>
    <w:rsid w:val="5E923AFD"/>
    <w:rsid w:val="5EDE2258"/>
    <w:rsid w:val="5F3B5E14"/>
    <w:rsid w:val="603812CE"/>
    <w:rsid w:val="60665C20"/>
    <w:rsid w:val="613E4A92"/>
    <w:rsid w:val="667EC18E"/>
    <w:rsid w:val="66BFCAC2"/>
    <w:rsid w:val="66ED1257"/>
    <w:rsid w:val="6746ABAE"/>
    <w:rsid w:val="681032AB"/>
    <w:rsid w:val="6931F5A3"/>
    <w:rsid w:val="69B5291F"/>
    <w:rsid w:val="6A0AE52B"/>
    <w:rsid w:val="6A7E4C70"/>
    <w:rsid w:val="6AD4AE0D"/>
    <w:rsid w:val="6B021532"/>
    <w:rsid w:val="6BB7F063"/>
    <w:rsid w:val="6BC58CB1"/>
    <w:rsid w:val="6C1DB13F"/>
    <w:rsid w:val="6CECC9E1"/>
    <w:rsid w:val="6DD92352"/>
    <w:rsid w:val="6F051488"/>
    <w:rsid w:val="6F51BD93"/>
    <w:rsid w:val="702CECA7"/>
    <w:rsid w:val="70F6E5E8"/>
    <w:rsid w:val="71908CD5"/>
    <w:rsid w:val="7533826A"/>
    <w:rsid w:val="763A1E63"/>
    <w:rsid w:val="7746D927"/>
    <w:rsid w:val="7BBC85C2"/>
    <w:rsid w:val="7C7F6CBF"/>
    <w:rsid w:val="7C871177"/>
    <w:rsid w:val="7CBBEFFF"/>
    <w:rsid w:val="7EF4268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1ABD0D7"/>
  <w15:docId w15:val="{B00E53EA-21AA-483F-8C54-0EA549E8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460FC1"/>
    <w:rPr>
      <w:rFonts w:ascii="Cambria" w:hAnsi="Cambria"/>
      <w:lang w:eastAsia="en-US"/>
    </w:rPr>
  </w:style>
  <w:style w:type="paragraph" w:styleId="Heading1">
    <w:name w:val="heading 1"/>
    <w:next w:val="VDWCbody"/>
    <w:link w:val="Heading1Char"/>
    <w:uiPriority w:val="1"/>
    <w:qFormat/>
    <w:rsid w:val="00E60D6C"/>
    <w:pPr>
      <w:keepNext/>
      <w:keepLines/>
      <w:spacing w:before="320" w:after="200" w:line="440" w:lineRule="atLeast"/>
      <w:outlineLvl w:val="0"/>
    </w:pPr>
    <w:rPr>
      <w:rFonts w:ascii="Arial" w:eastAsia="MS Gothic" w:hAnsi="Arial" w:cs="Arial"/>
      <w:bCs/>
      <w:color w:val="1D1937"/>
      <w:kern w:val="32"/>
      <w:sz w:val="36"/>
      <w:szCs w:val="40"/>
      <w:lang w:eastAsia="en-US"/>
    </w:rPr>
  </w:style>
  <w:style w:type="paragraph" w:styleId="Heading2">
    <w:name w:val="heading 2"/>
    <w:next w:val="VDWCbody"/>
    <w:link w:val="Heading2Char"/>
    <w:uiPriority w:val="1"/>
    <w:qFormat/>
    <w:rsid w:val="00E60D6C"/>
    <w:pPr>
      <w:keepNext/>
      <w:keepLines/>
      <w:spacing w:before="240" w:after="90" w:line="320" w:lineRule="atLeast"/>
      <w:outlineLvl w:val="1"/>
    </w:pPr>
    <w:rPr>
      <w:rFonts w:ascii="Arial" w:hAnsi="Arial"/>
      <w:b/>
      <w:color w:val="1D1937"/>
      <w:sz w:val="28"/>
      <w:szCs w:val="28"/>
      <w:lang w:eastAsia="en-US"/>
    </w:rPr>
  </w:style>
  <w:style w:type="paragraph" w:styleId="Heading3">
    <w:name w:val="heading 3"/>
    <w:next w:val="VDWC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VDWC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WCbody">
    <w:name w:val="VDWC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60D6C"/>
    <w:rPr>
      <w:rFonts w:ascii="Arial" w:eastAsia="MS Gothic" w:hAnsi="Arial" w:cs="Arial"/>
      <w:bCs/>
      <w:color w:val="1D1937"/>
      <w:kern w:val="32"/>
      <w:sz w:val="36"/>
      <w:szCs w:val="40"/>
      <w:lang w:eastAsia="en-US"/>
    </w:rPr>
  </w:style>
  <w:style w:type="character" w:customStyle="1" w:styleId="Heading2Char">
    <w:name w:val="Heading 2 Char"/>
    <w:link w:val="Heading2"/>
    <w:uiPriority w:val="1"/>
    <w:rsid w:val="00E60D6C"/>
    <w:rPr>
      <w:rFonts w:ascii="Arial" w:hAnsi="Arial"/>
      <w:b/>
      <w:color w:val="1D193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VDWCheader"/>
    <w:uiPriority w:val="10"/>
    <w:rsid w:val="00262802"/>
  </w:style>
  <w:style w:type="paragraph" w:styleId="Footer">
    <w:name w:val="footer"/>
    <w:basedOn w:val="VDWC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VDWCtabletext6pt">
    <w:name w:val="VDWC table text + 6pt"/>
    <w:basedOn w:val="VDWC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Cbodynospace">
    <w:name w:val="VDWC body no space"/>
    <w:basedOn w:val="VDWCbody"/>
    <w:uiPriority w:val="1"/>
    <w:rsid w:val="00F772C6"/>
    <w:pPr>
      <w:spacing w:after="0"/>
    </w:pPr>
  </w:style>
  <w:style w:type="paragraph" w:customStyle="1" w:styleId="VDWCbullet1">
    <w:name w:val="VDWC bullet 1"/>
    <w:basedOn w:val="VDWCbody"/>
    <w:qFormat/>
    <w:rsid w:val="00506F3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VDWCTOCheadingfactsheet">
    <w:name w:val="VDWC TOC heading fact sheet"/>
    <w:basedOn w:val="Heading2"/>
    <w:next w:val="VDWCbody"/>
    <w:link w:val="VDWCTOCheadingfactsheetChar"/>
    <w:uiPriority w:val="4"/>
    <w:rsid w:val="00E60D6C"/>
    <w:pPr>
      <w:spacing w:before="0" w:after="200"/>
      <w:outlineLvl w:val="9"/>
    </w:pPr>
  </w:style>
  <w:style w:type="character" w:customStyle="1" w:styleId="VDWCTOCheadingfactsheetChar">
    <w:name w:val="VDWC TOC heading fact sheet Char"/>
    <w:link w:val="VDWCTOCheadingfactsheet"/>
    <w:uiPriority w:val="4"/>
    <w:rsid w:val="00E60D6C"/>
    <w:rPr>
      <w:rFonts w:ascii="Arial" w:hAnsi="Arial"/>
      <w:b/>
      <w:color w:val="1D193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DWCtabletext">
    <w:name w:val="VDWC table text"/>
    <w:uiPriority w:val="3"/>
    <w:qFormat/>
    <w:rsid w:val="00DA2619"/>
    <w:pPr>
      <w:spacing w:before="80" w:after="60"/>
    </w:pPr>
    <w:rPr>
      <w:rFonts w:ascii="Arial" w:hAnsi="Arial"/>
      <w:lang w:eastAsia="en-US"/>
    </w:rPr>
  </w:style>
  <w:style w:type="paragraph" w:customStyle="1" w:styleId="VDWCtablecaption">
    <w:name w:val="VDWC table caption"/>
    <w:next w:val="VDWCbody"/>
    <w:uiPriority w:val="3"/>
    <w:qFormat/>
    <w:rsid w:val="00233724"/>
    <w:pPr>
      <w:keepNext/>
      <w:keepLines/>
      <w:spacing w:before="240" w:after="120" w:line="240" w:lineRule="atLeast"/>
    </w:pPr>
    <w:rPr>
      <w:rFonts w:ascii="Arial" w:hAnsi="Arial"/>
      <w:b/>
      <w:lang w:eastAsia="en-US"/>
    </w:rPr>
  </w:style>
  <w:style w:type="paragraph" w:customStyle="1" w:styleId="VDWCmainheading">
    <w:name w:val="VDWC main heading"/>
    <w:uiPriority w:val="8"/>
    <w:rsid w:val="00E60D6C"/>
    <w:pPr>
      <w:jc w:val="right"/>
    </w:pPr>
    <w:rPr>
      <w:rFonts w:ascii="Arial" w:hAnsi="Arial"/>
      <w:color w:val="1D1937"/>
      <w:sz w:val="40"/>
      <w:szCs w:val="40"/>
      <w:lang w:eastAsia="en-US"/>
    </w:rPr>
  </w:style>
  <w:style w:type="character" w:styleId="FootnoteReference">
    <w:name w:val="footnote reference"/>
    <w:uiPriority w:val="8"/>
    <w:rsid w:val="00BC7ED7"/>
    <w:rPr>
      <w:vertAlign w:val="superscript"/>
    </w:rPr>
  </w:style>
  <w:style w:type="paragraph" w:customStyle="1" w:styleId="VDWCaccessibilitypara">
    <w:name w:val="VDWC accessibility para"/>
    <w:uiPriority w:val="8"/>
    <w:rsid w:val="00770F37"/>
    <w:pPr>
      <w:spacing w:after="200" w:line="300" w:lineRule="atLeast"/>
    </w:pPr>
    <w:rPr>
      <w:rFonts w:ascii="Arial" w:eastAsia="Times" w:hAnsi="Arial"/>
      <w:sz w:val="24"/>
      <w:szCs w:val="19"/>
      <w:lang w:eastAsia="en-US"/>
    </w:rPr>
  </w:style>
  <w:style w:type="paragraph" w:customStyle="1" w:styleId="VDWCfigurecaption">
    <w:name w:val="VDWC figure caption"/>
    <w:next w:val="VDWCbody"/>
    <w:rsid w:val="00770F37"/>
    <w:pPr>
      <w:keepNext/>
      <w:keepLines/>
      <w:spacing w:before="240" w:after="120"/>
    </w:pPr>
    <w:rPr>
      <w:rFonts w:ascii="Arial" w:hAnsi="Arial"/>
      <w:b/>
      <w:lang w:eastAsia="en-US"/>
    </w:rPr>
  </w:style>
  <w:style w:type="paragraph" w:customStyle="1" w:styleId="VDWCbullet2">
    <w:name w:val="VDWC bullet 2"/>
    <w:basedOn w:val="VDWCbody"/>
    <w:uiPriority w:val="2"/>
    <w:qFormat/>
    <w:rsid w:val="00506F34"/>
    <w:pPr>
      <w:numPr>
        <w:ilvl w:val="1"/>
        <w:numId w:val="7"/>
      </w:numPr>
      <w:spacing w:after="40"/>
    </w:pPr>
  </w:style>
  <w:style w:type="paragraph" w:customStyle="1" w:styleId="VDWCbodyafterbullets">
    <w:name w:val="VDWC body after bullets"/>
    <w:basedOn w:val="VDWCbody"/>
    <w:uiPriority w:val="11"/>
    <w:rsid w:val="00E11352"/>
    <w:pPr>
      <w:spacing w:before="120"/>
    </w:pPr>
  </w:style>
  <w:style w:type="paragraph" w:customStyle="1" w:styleId="VDWCtablebullet2">
    <w:name w:val="VDWC table bullet 2"/>
    <w:basedOn w:val="VDWCtabletext"/>
    <w:uiPriority w:val="11"/>
    <w:rsid w:val="00506F34"/>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DWCtablebullet1">
    <w:name w:val="VDWC table bullet 1"/>
    <w:basedOn w:val="VDWCtabletext"/>
    <w:uiPriority w:val="3"/>
    <w:qFormat/>
    <w:rsid w:val="00506F34"/>
    <w:pPr>
      <w:numPr>
        <w:numId w:val="9"/>
      </w:numPr>
    </w:pPr>
  </w:style>
  <w:style w:type="numbering" w:customStyle="1" w:styleId="ZZTablebullets">
    <w:name w:val="ZZ Table bullets"/>
    <w:basedOn w:val="NoList"/>
    <w:rsid w:val="00506F34"/>
    <w:pPr>
      <w:numPr>
        <w:numId w:val="9"/>
      </w:numPr>
    </w:pPr>
  </w:style>
  <w:style w:type="paragraph" w:customStyle="1" w:styleId="VDWCtablecolhead">
    <w:name w:val="VDWC table col head"/>
    <w:uiPriority w:val="3"/>
    <w:qFormat/>
    <w:rsid w:val="00E60D6C"/>
    <w:pPr>
      <w:spacing w:before="80" w:after="60"/>
    </w:pPr>
    <w:rPr>
      <w:rFonts w:ascii="Arial" w:hAnsi="Arial"/>
      <w:b/>
      <w:color w:val="1D1937"/>
      <w:lang w:eastAsia="en-US"/>
    </w:rPr>
  </w:style>
  <w:style w:type="paragraph" w:customStyle="1" w:styleId="VDWCbulletafternumbers1">
    <w:name w:val="VDWC bullet after numbers 1"/>
    <w:basedOn w:val="VDWCbody"/>
    <w:uiPriority w:val="4"/>
    <w:rsid w:val="00460FC1"/>
    <w:pPr>
      <w:numPr>
        <w:ilvl w:val="2"/>
        <w:numId w:val="2"/>
      </w:numPr>
    </w:pPr>
  </w:style>
  <w:style w:type="character" w:styleId="Hyperlink">
    <w:name w:val="Hyperlink"/>
    <w:uiPriority w:val="99"/>
    <w:rsid w:val="007A11E8"/>
    <w:rPr>
      <w:color w:val="0072CE"/>
      <w:u w:val="dotted"/>
    </w:rPr>
  </w:style>
  <w:style w:type="paragraph" w:customStyle="1" w:styleId="VDWCmainsubheading">
    <w:name w:val="VDWC main subheading"/>
    <w:uiPriority w:val="8"/>
    <w:rsid w:val="00EE0131"/>
    <w:pPr>
      <w:jc w:val="right"/>
    </w:pPr>
    <w:rPr>
      <w:rFonts w:ascii="Arial" w:hAnsi="Arial"/>
      <w:color w:val="1D1937"/>
      <w:sz w:val="22"/>
      <w:szCs w:val="22"/>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VDWC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06F34"/>
    <w:pPr>
      <w:numPr>
        <w:numId w:val="7"/>
      </w:numPr>
    </w:pPr>
  </w:style>
  <w:style w:type="numbering" w:customStyle="1" w:styleId="ZZNumbersdigit">
    <w:name w:val="ZZ Numbers digit"/>
    <w:rsid w:val="00460FC1"/>
    <w:pPr>
      <w:numPr>
        <w:numId w:val="2"/>
      </w:numPr>
    </w:pPr>
  </w:style>
  <w:style w:type="numbering" w:customStyle="1" w:styleId="ZZQuotebullets">
    <w:name w:val="ZZ Quote bullets"/>
    <w:basedOn w:val="ZZNumbersdigit"/>
    <w:rsid w:val="00506F34"/>
    <w:pPr>
      <w:numPr>
        <w:numId w:val="11"/>
      </w:numPr>
    </w:pPr>
  </w:style>
  <w:style w:type="paragraph" w:customStyle="1" w:styleId="VDWCnumberdigit">
    <w:name w:val="VDWC number digit"/>
    <w:basedOn w:val="VDWCbody"/>
    <w:uiPriority w:val="2"/>
    <w:rsid w:val="00460FC1"/>
    <w:pPr>
      <w:numPr>
        <w:numId w:val="2"/>
      </w:numPr>
    </w:pPr>
  </w:style>
  <w:style w:type="paragraph" w:customStyle="1" w:styleId="VDWCnumberloweralphaindent">
    <w:name w:val="VDWC number lower alpha indent"/>
    <w:basedOn w:val="VDWCbody"/>
    <w:uiPriority w:val="3"/>
    <w:rsid w:val="00506F34"/>
    <w:pPr>
      <w:numPr>
        <w:ilvl w:val="1"/>
        <w:numId w:val="20"/>
      </w:numPr>
    </w:pPr>
  </w:style>
  <w:style w:type="paragraph" w:customStyle="1" w:styleId="VDWCnumberdigitindent">
    <w:name w:val="VDWC number digit indent"/>
    <w:basedOn w:val="VDWCnumberloweralphaindent"/>
    <w:uiPriority w:val="3"/>
    <w:rsid w:val="00460FC1"/>
    <w:pPr>
      <w:numPr>
        <w:numId w:val="2"/>
      </w:numPr>
    </w:pPr>
  </w:style>
  <w:style w:type="paragraph" w:customStyle="1" w:styleId="VDWCnumberloweralpha">
    <w:name w:val="VDWC number lower alpha"/>
    <w:basedOn w:val="VDWCbody"/>
    <w:uiPriority w:val="3"/>
    <w:rsid w:val="00506F34"/>
    <w:pPr>
      <w:numPr>
        <w:numId w:val="20"/>
      </w:numPr>
    </w:pPr>
  </w:style>
  <w:style w:type="paragraph" w:customStyle="1" w:styleId="VDWCnumberlowerroman">
    <w:name w:val="VDWC number lower roman"/>
    <w:basedOn w:val="VDWCbody"/>
    <w:uiPriority w:val="3"/>
    <w:rsid w:val="00506F34"/>
    <w:pPr>
      <w:numPr>
        <w:numId w:val="13"/>
      </w:numPr>
    </w:pPr>
  </w:style>
  <w:style w:type="paragraph" w:customStyle="1" w:styleId="VDWCnumberlowerromanindent">
    <w:name w:val="VDWC number lower roman indent"/>
    <w:basedOn w:val="VDWCbody"/>
    <w:uiPriority w:val="3"/>
    <w:rsid w:val="00506F34"/>
    <w:pPr>
      <w:numPr>
        <w:ilvl w:val="1"/>
        <w:numId w:val="13"/>
      </w:numPr>
    </w:pPr>
  </w:style>
  <w:style w:type="paragraph" w:customStyle="1" w:styleId="VDWCquote">
    <w:name w:val="VDWC quote"/>
    <w:basedOn w:val="VDWCbody"/>
    <w:uiPriority w:val="4"/>
    <w:rsid w:val="00152073"/>
    <w:pPr>
      <w:ind w:left="397"/>
    </w:pPr>
    <w:rPr>
      <w:szCs w:val="18"/>
    </w:rPr>
  </w:style>
  <w:style w:type="paragraph" w:customStyle="1" w:styleId="VDWCtablefigurenote">
    <w:name w:val="VDWC table/figure note"/>
    <w:uiPriority w:val="4"/>
    <w:rsid w:val="00A330BB"/>
    <w:pPr>
      <w:spacing w:before="60" w:after="60" w:line="240" w:lineRule="exact"/>
    </w:pPr>
    <w:rPr>
      <w:rFonts w:ascii="Arial" w:hAnsi="Arial"/>
      <w:sz w:val="18"/>
      <w:lang w:eastAsia="en-US"/>
    </w:rPr>
  </w:style>
  <w:style w:type="paragraph" w:customStyle="1" w:styleId="VDWCbodyaftertablefigure">
    <w:name w:val="VDWC body after table/figure"/>
    <w:basedOn w:val="VDWCbody"/>
    <w:next w:val="VDWCbody"/>
    <w:uiPriority w:val="1"/>
    <w:rsid w:val="00951D50"/>
    <w:pPr>
      <w:spacing w:before="240"/>
    </w:pPr>
  </w:style>
  <w:style w:type="paragraph" w:customStyle="1" w:styleId="VDWCfooter">
    <w:name w:val="VDWC footer"/>
    <w:uiPriority w:val="11"/>
    <w:rsid w:val="0051568D"/>
    <w:pPr>
      <w:tabs>
        <w:tab w:val="right" w:pos="10206"/>
      </w:tabs>
    </w:pPr>
    <w:rPr>
      <w:rFonts w:ascii="Arial" w:hAnsi="Arial" w:cs="Arial"/>
      <w:sz w:val="18"/>
      <w:szCs w:val="18"/>
      <w:lang w:eastAsia="en-US"/>
    </w:rPr>
  </w:style>
  <w:style w:type="paragraph" w:customStyle="1" w:styleId="VDWCheader">
    <w:name w:val="VDWC header"/>
    <w:basedOn w:val="VDWCfooter"/>
    <w:uiPriority w:val="11"/>
    <w:rsid w:val="0051568D"/>
  </w:style>
  <w:style w:type="paragraph" w:customStyle="1" w:styleId="VDWCbulletafternumbers2">
    <w:name w:val="VDWC bullet after numbers 2"/>
    <w:basedOn w:val="VDWCbody"/>
    <w:rsid w:val="00460FC1"/>
    <w:pPr>
      <w:numPr>
        <w:ilvl w:val="3"/>
        <w:numId w:val="2"/>
      </w:numPr>
    </w:pPr>
  </w:style>
  <w:style w:type="numbering" w:customStyle="1" w:styleId="ZZNumberslowerroman">
    <w:name w:val="ZZ Numbers lower roman"/>
    <w:basedOn w:val="ZZQuotebullets"/>
    <w:rsid w:val="00506F34"/>
    <w:pPr>
      <w:numPr>
        <w:numId w:val="13"/>
      </w:numPr>
    </w:pPr>
  </w:style>
  <w:style w:type="numbering" w:customStyle="1" w:styleId="ZZNumbersloweralpha">
    <w:name w:val="ZZ Numbers lower alpha"/>
    <w:basedOn w:val="NoList"/>
    <w:rsid w:val="00506F34"/>
    <w:pPr>
      <w:numPr>
        <w:numId w:val="20"/>
      </w:numPr>
    </w:pPr>
  </w:style>
  <w:style w:type="paragraph" w:customStyle="1" w:styleId="VDWCquotebullet1">
    <w:name w:val="VDWC quote bullet 1"/>
    <w:basedOn w:val="VDWCquote"/>
    <w:rsid w:val="00506F34"/>
    <w:pPr>
      <w:numPr>
        <w:numId w:val="11"/>
      </w:numPr>
    </w:pPr>
  </w:style>
  <w:style w:type="paragraph" w:customStyle="1" w:styleId="VDWCquotebullet2">
    <w:name w:val="VDWC quote bullet 2"/>
    <w:basedOn w:val="VDWCquote"/>
    <w:rsid w:val="00506F34"/>
    <w:pPr>
      <w:numPr>
        <w:ilvl w:val="1"/>
        <w:numId w:val="11"/>
      </w:numPr>
    </w:pPr>
  </w:style>
  <w:style w:type="paragraph" w:styleId="BalloonText">
    <w:name w:val="Balloon Text"/>
    <w:basedOn w:val="Normal"/>
    <w:link w:val="BalloonTextChar"/>
    <w:uiPriority w:val="99"/>
    <w:semiHidden/>
    <w:unhideWhenUsed/>
    <w:rsid w:val="001411E6"/>
    <w:rPr>
      <w:rFonts w:ascii="Segoe UI" w:hAnsi="Segoe UI" w:cs="Segoe UI"/>
      <w:sz w:val="18"/>
      <w:szCs w:val="18"/>
    </w:rPr>
  </w:style>
  <w:style w:type="character" w:customStyle="1" w:styleId="BalloonTextChar">
    <w:name w:val="Balloon Text Char"/>
    <w:link w:val="BalloonText"/>
    <w:uiPriority w:val="99"/>
    <w:semiHidden/>
    <w:rsid w:val="001411E6"/>
    <w:rPr>
      <w:rFonts w:ascii="Segoe UI" w:hAnsi="Segoe UI" w:cs="Segoe UI"/>
      <w:sz w:val="18"/>
      <w:szCs w:val="18"/>
      <w:lang w:eastAsia="en-US"/>
    </w:rPr>
  </w:style>
  <w:style w:type="character" w:styleId="UnresolvedMention">
    <w:name w:val="Unresolved Mention"/>
    <w:uiPriority w:val="99"/>
    <w:semiHidden/>
    <w:unhideWhenUsed/>
    <w:rsid w:val="00CF229B"/>
    <w:rPr>
      <w:color w:val="605E5C"/>
      <w:shd w:val="clear" w:color="auto" w:fill="E1DFDD"/>
    </w:rPr>
  </w:style>
  <w:style w:type="paragraph" w:customStyle="1" w:styleId="DWRBbody">
    <w:name w:val="DWRB body"/>
    <w:rsid w:val="00FF24A5"/>
    <w:pPr>
      <w:spacing w:after="120" w:line="270" w:lineRule="atLeast"/>
    </w:pPr>
    <w:rPr>
      <w:rFonts w:ascii="Arial" w:eastAsia="Times" w:hAnsi="Arial"/>
      <w:lang w:eastAsia="en-US"/>
    </w:rPr>
  </w:style>
  <w:style w:type="paragraph" w:customStyle="1" w:styleId="DWRBbullet1">
    <w:name w:val="DWRB bullet 1"/>
    <w:basedOn w:val="DWRBbody"/>
    <w:rsid w:val="00FF24A5"/>
    <w:pPr>
      <w:spacing w:after="40"/>
      <w:ind w:left="284" w:hanging="284"/>
    </w:pPr>
  </w:style>
  <w:style w:type="paragraph" w:customStyle="1" w:styleId="DWRBtabletext">
    <w:name w:val="DWRB table text"/>
    <w:uiPriority w:val="3"/>
    <w:rsid w:val="00FF24A5"/>
    <w:pPr>
      <w:spacing w:before="80" w:after="60"/>
    </w:pPr>
    <w:rPr>
      <w:rFonts w:ascii="Arial" w:hAnsi="Arial"/>
      <w:lang w:eastAsia="en-US"/>
    </w:rPr>
  </w:style>
  <w:style w:type="paragraph" w:customStyle="1" w:styleId="DWRBbullet2">
    <w:name w:val="DWRB bullet 2"/>
    <w:basedOn w:val="DWRBbody"/>
    <w:uiPriority w:val="2"/>
    <w:rsid w:val="00FF24A5"/>
    <w:pPr>
      <w:spacing w:after="40"/>
      <w:ind w:left="567" w:hanging="283"/>
    </w:pPr>
  </w:style>
  <w:style w:type="paragraph" w:customStyle="1" w:styleId="DWRBtablecolhead">
    <w:name w:val="DWRB table col head"/>
    <w:uiPriority w:val="3"/>
    <w:rsid w:val="00FF24A5"/>
    <w:pPr>
      <w:spacing w:before="80" w:after="60"/>
    </w:pPr>
    <w:rPr>
      <w:rFonts w:ascii="Arial" w:hAnsi="Arial"/>
      <w:b/>
      <w:color w:val="04003F"/>
      <w:lang w:eastAsia="en-US"/>
    </w:rPr>
  </w:style>
  <w:style w:type="paragraph" w:customStyle="1" w:styleId="DWRBbulletafternumbers1">
    <w:name w:val="DWRB bullet after numbers 1"/>
    <w:basedOn w:val="DWRBbody"/>
    <w:uiPriority w:val="4"/>
    <w:rsid w:val="00FF24A5"/>
    <w:pPr>
      <w:ind w:left="794" w:hanging="397"/>
    </w:pPr>
  </w:style>
  <w:style w:type="paragraph" w:customStyle="1" w:styleId="DWRBnumberdigit">
    <w:name w:val="DWRB number digit"/>
    <w:basedOn w:val="DWRBbody"/>
    <w:uiPriority w:val="2"/>
    <w:rsid w:val="00FF24A5"/>
    <w:pPr>
      <w:tabs>
        <w:tab w:val="num" w:pos="397"/>
      </w:tabs>
      <w:ind w:left="397" w:hanging="397"/>
    </w:pPr>
  </w:style>
  <w:style w:type="paragraph" w:customStyle="1" w:styleId="DWRBnumberdigitindent">
    <w:name w:val="DWRB number digit indent"/>
    <w:basedOn w:val="Normal"/>
    <w:uiPriority w:val="3"/>
    <w:rsid w:val="00FF24A5"/>
    <w:pPr>
      <w:tabs>
        <w:tab w:val="num" w:pos="794"/>
      </w:tabs>
      <w:spacing w:after="120" w:line="270" w:lineRule="atLeast"/>
      <w:ind w:left="794" w:hanging="397"/>
    </w:pPr>
    <w:rPr>
      <w:rFonts w:ascii="Arial" w:eastAsia="Times" w:hAnsi="Arial"/>
    </w:rPr>
  </w:style>
  <w:style w:type="paragraph" w:customStyle="1" w:styleId="DWRBbulletafternumbers2">
    <w:name w:val="DWRB bullet after numbers 2"/>
    <w:basedOn w:val="DWRBbody"/>
    <w:rsid w:val="00FF24A5"/>
    <w:pPr>
      <w:ind w:left="1191" w:hanging="397"/>
    </w:pPr>
  </w:style>
  <w:style w:type="paragraph" w:customStyle="1" w:styleId="Tabletext">
    <w:name w:val="Table text"/>
    <w:basedOn w:val="Normal"/>
    <w:qFormat/>
    <w:rsid w:val="00FF24A5"/>
    <w:pPr>
      <w:keepLines/>
      <w:spacing w:before="40" w:after="40"/>
    </w:pPr>
    <w:rPr>
      <w:rFonts w:ascii="Arial" w:hAnsi="Arial"/>
      <w:sz w:val="22"/>
      <w:szCs w:val="24"/>
    </w:rPr>
  </w:style>
  <w:style w:type="paragraph" w:customStyle="1" w:styleId="Tabletitleheading">
    <w:name w:val="Table title/heading"/>
    <w:basedOn w:val="Normal"/>
    <w:qFormat/>
    <w:rsid w:val="00FF24A5"/>
    <w:pPr>
      <w:keepNext/>
      <w:keepLines/>
      <w:spacing w:before="40" w:after="40"/>
      <w:jc w:val="center"/>
    </w:pPr>
    <w:rPr>
      <w:rFonts w:ascii="Arial" w:hAnsi="Arial"/>
      <w:b/>
      <w:sz w:val="22"/>
      <w:szCs w:val="18"/>
    </w:rPr>
  </w:style>
  <w:style w:type="character" w:customStyle="1" w:styleId="FooterChar">
    <w:name w:val="Footer Char"/>
    <w:link w:val="Footer"/>
    <w:uiPriority w:val="99"/>
    <w:rsid w:val="00EA5C95"/>
    <w:rPr>
      <w:rFonts w:ascii="Arial" w:hAnsi="Arial" w:cs="Arial"/>
      <w:sz w:val="18"/>
      <w:szCs w:val="18"/>
      <w:lang w:eastAsia="en-US"/>
    </w:rPr>
  </w:style>
  <w:style w:type="character" w:styleId="CommentReference">
    <w:name w:val="annotation reference"/>
    <w:basedOn w:val="DefaultParagraphFont"/>
    <w:uiPriority w:val="99"/>
    <w:semiHidden/>
    <w:unhideWhenUsed/>
    <w:rsid w:val="007F540E"/>
    <w:rPr>
      <w:sz w:val="16"/>
      <w:szCs w:val="16"/>
    </w:rPr>
  </w:style>
  <w:style w:type="paragraph" w:styleId="CommentText">
    <w:name w:val="annotation text"/>
    <w:basedOn w:val="Normal"/>
    <w:link w:val="CommentTextChar"/>
    <w:uiPriority w:val="99"/>
    <w:semiHidden/>
    <w:unhideWhenUsed/>
    <w:rsid w:val="007F540E"/>
  </w:style>
  <w:style w:type="character" w:customStyle="1" w:styleId="CommentTextChar">
    <w:name w:val="Comment Text Char"/>
    <w:basedOn w:val="DefaultParagraphFont"/>
    <w:link w:val="CommentText"/>
    <w:uiPriority w:val="99"/>
    <w:semiHidden/>
    <w:rsid w:val="007F540E"/>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7F540E"/>
    <w:rPr>
      <w:b/>
      <w:bCs/>
    </w:rPr>
  </w:style>
  <w:style w:type="character" w:customStyle="1" w:styleId="CommentSubjectChar">
    <w:name w:val="Comment Subject Char"/>
    <w:basedOn w:val="CommentTextChar"/>
    <w:link w:val="CommentSubject"/>
    <w:uiPriority w:val="99"/>
    <w:semiHidden/>
    <w:rsid w:val="007F540E"/>
    <w:rPr>
      <w:rFonts w:ascii="Cambria" w:hAnsi="Cambria"/>
      <w:b/>
      <w:bCs/>
      <w:lang w:eastAsia="en-US"/>
    </w:rPr>
  </w:style>
  <w:style w:type="paragraph" w:customStyle="1" w:styleId="DHHSbody">
    <w:name w:val="DHHS body"/>
    <w:rsid w:val="0013601C"/>
    <w:pPr>
      <w:spacing w:after="120" w:line="270" w:lineRule="atLeast"/>
    </w:pPr>
    <w:rPr>
      <w:rFonts w:ascii="Arial" w:eastAsia="Times" w:hAnsi="Arial"/>
      <w:lang w:eastAsia="en-US"/>
    </w:rPr>
  </w:style>
  <w:style w:type="paragraph" w:customStyle="1" w:styleId="DHHSbullet1">
    <w:name w:val="DHHS bullet 1"/>
    <w:basedOn w:val="DHHSbody"/>
    <w:rsid w:val="0013601C"/>
    <w:pPr>
      <w:spacing w:after="40"/>
      <w:ind w:left="284" w:hanging="284"/>
    </w:pPr>
  </w:style>
  <w:style w:type="paragraph" w:customStyle="1" w:styleId="DHHSbullet2">
    <w:name w:val="DHHS bullet 2"/>
    <w:basedOn w:val="DHHSbody"/>
    <w:uiPriority w:val="2"/>
    <w:rsid w:val="0013601C"/>
    <w:pPr>
      <w:spacing w:after="40"/>
      <w:ind w:left="567" w:hanging="283"/>
    </w:pPr>
  </w:style>
  <w:style w:type="paragraph" w:customStyle="1" w:styleId="DHHStablebullet">
    <w:name w:val="DHHS table bullet"/>
    <w:basedOn w:val="Normal"/>
    <w:uiPriority w:val="3"/>
    <w:rsid w:val="0013601C"/>
    <w:pPr>
      <w:spacing w:before="80" w:after="60"/>
      <w:ind w:left="227" w:hanging="227"/>
    </w:pPr>
    <w:rPr>
      <w:rFonts w:ascii="Arial" w:hAnsi="Arial"/>
    </w:rPr>
  </w:style>
  <w:style w:type="paragraph" w:customStyle="1" w:styleId="DHHSbulletindent">
    <w:name w:val="DHHS bullet indent"/>
    <w:basedOn w:val="DHHSbody"/>
    <w:uiPriority w:val="4"/>
    <w:rsid w:val="0013601C"/>
    <w:pPr>
      <w:spacing w:after="40"/>
      <w:ind w:left="680" w:hanging="283"/>
    </w:pPr>
  </w:style>
  <w:style w:type="paragraph" w:customStyle="1" w:styleId="DHHSbullet1lastline">
    <w:name w:val="DHHS bullet 1 last line"/>
    <w:basedOn w:val="DHHSbullet1"/>
    <w:rsid w:val="0013601C"/>
    <w:pPr>
      <w:spacing w:after="120"/>
    </w:pPr>
  </w:style>
  <w:style w:type="paragraph" w:customStyle="1" w:styleId="DHHSbullet2lastline">
    <w:name w:val="DHHS bullet 2 last line"/>
    <w:basedOn w:val="DHHSbullet2"/>
    <w:uiPriority w:val="2"/>
    <w:rsid w:val="0013601C"/>
    <w:pPr>
      <w:spacing w:after="120"/>
    </w:pPr>
  </w:style>
  <w:style w:type="paragraph" w:customStyle="1" w:styleId="DHHSbulletindentlastline">
    <w:name w:val="DHHS bullet indent last line"/>
    <w:basedOn w:val="DHHSbody"/>
    <w:uiPriority w:val="4"/>
    <w:rsid w:val="0013601C"/>
    <w:pPr>
      <w:ind w:left="680" w:hanging="283"/>
    </w:pPr>
  </w:style>
  <w:style w:type="paragraph" w:customStyle="1" w:styleId="DHHSfigurecaption">
    <w:name w:val="DHHS figure caption"/>
    <w:next w:val="DHHSbody"/>
    <w:rsid w:val="003F1BE7"/>
    <w:pPr>
      <w:keepNext/>
      <w:keepLines/>
      <w:spacing w:before="240" w:after="120"/>
    </w:pPr>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18988">
      <w:bodyDiv w:val="1"/>
      <w:marLeft w:val="0"/>
      <w:marRight w:val="0"/>
      <w:marTop w:val="0"/>
      <w:marBottom w:val="0"/>
      <w:divBdr>
        <w:top w:val="none" w:sz="0" w:space="0" w:color="auto"/>
        <w:left w:val="none" w:sz="0" w:space="0" w:color="auto"/>
        <w:bottom w:val="none" w:sz="0" w:space="0" w:color="auto"/>
        <w:right w:val="none" w:sz="0" w:space="0" w:color="auto"/>
      </w:divBdr>
    </w:div>
    <w:div w:id="582033631">
      <w:bodyDiv w:val="1"/>
      <w:marLeft w:val="0"/>
      <w:marRight w:val="0"/>
      <w:marTop w:val="0"/>
      <w:marBottom w:val="0"/>
      <w:divBdr>
        <w:top w:val="none" w:sz="0" w:space="0" w:color="auto"/>
        <w:left w:val="none" w:sz="0" w:space="0" w:color="auto"/>
        <w:bottom w:val="none" w:sz="0" w:space="0" w:color="auto"/>
        <w:right w:val="none" w:sz="0" w:space="0" w:color="auto"/>
      </w:divBdr>
    </w:div>
    <w:div w:id="657197008">
      <w:bodyDiv w:val="1"/>
      <w:marLeft w:val="0"/>
      <w:marRight w:val="0"/>
      <w:marTop w:val="0"/>
      <w:marBottom w:val="0"/>
      <w:divBdr>
        <w:top w:val="none" w:sz="0" w:space="0" w:color="auto"/>
        <w:left w:val="none" w:sz="0" w:space="0" w:color="auto"/>
        <w:bottom w:val="none" w:sz="0" w:space="0" w:color="auto"/>
        <w:right w:val="none" w:sz="0" w:space="0" w:color="auto"/>
      </w:divBdr>
    </w:div>
    <w:div w:id="83630613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023434393">
      <w:bodyDiv w:val="1"/>
      <w:marLeft w:val="0"/>
      <w:marRight w:val="0"/>
      <w:marTop w:val="0"/>
      <w:marBottom w:val="0"/>
      <w:divBdr>
        <w:top w:val="none" w:sz="0" w:space="0" w:color="auto"/>
        <w:left w:val="none" w:sz="0" w:space="0" w:color="auto"/>
        <w:bottom w:val="none" w:sz="0" w:space="0" w:color="auto"/>
        <w:right w:val="none" w:sz="0" w:space="0" w:color="auto"/>
      </w:divBdr>
      <w:divsChild>
        <w:div w:id="1947154554">
          <w:marLeft w:val="0"/>
          <w:marRight w:val="0"/>
          <w:marTop w:val="0"/>
          <w:marBottom w:val="0"/>
          <w:divBdr>
            <w:top w:val="none" w:sz="0" w:space="0" w:color="auto"/>
            <w:left w:val="none" w:sz="0" w:space="0" w:color="auto"/>
            <w:bottom w:val="none" w:sz="0" w:space="0" w:color="auto"/>
            <w:right w:val="none" w:sz="0" w:space="0" w:color="auto"/>
          </w:divBdr>
          <w:divsChild>
            <w:div w:id="421147524">
              <w:marLeft w:val="0"/>
              <w:marRight w:val="0"/>
              <w:marTop w:val="0"/>
              <w:marBottom w:val="0"/>
              <w:divBdr>
                <w:top w:val="none" w:sz="0" w:space="0" w:color="auto"/>
                <w:left w:val="none" w:sz="0" w:space="0" w:color="auto"/>
                <w:bottom w:val="none" w:sz="0" w:space="0" w:color="auto"/>
                <w:right w:val="none" w:sz="0" w:space="0" w:color="auto"/>
              </w:divBdr>
              <w:divsChild>
                <w:div w:id="1796945020">
                  <w:marLeft w:val="0"/>
                  <w:marRight w:val="0"/>
                  <w:marTop w:val="0"/>
                  <w:marBottom w:val="0"/>
                  <w:divBdr>
                    <w:top w:val="none" w:sz="0" w:space="0" w:color="auto"/>
                    <w:left w:val="none" w:sz="0" w:space="0" w:color="auto"/>
                    <w:bottom w:val="none" w:sz="0" w:space="0" w:color="auto"/>
                    <w:right w:val="none" w:sz="0" w:space="0" w:color="auto"/>
                  </w:divBdr>
                  <w:divsChild>
                    <w:div w:id="1675257909">
                      <w:marLeft w:val="0"/>
                      <w:marRight w:val="0"/>
                      <w:marTop w:val="0"/>
                      <w:marBottom w:val="0"/>
                      <w:divBdr>
                        <w:top w:val="none" w:sz="0" w:space="0" w:color="auto"/>
                        <w:left w:val="none" w:sz="0" w:space="0" w:color="auto"/>
                        <w:bottom w:val="none" w:sz="0" w:space="0" w:color="auto"/>
                        <w:right w:val="none" w:sz="0" w:space="0" w:color="auto"/>
                      </w:divBdr>
                      <w:divsChild>
                        <w:div w:id="198857139">
                          <w:marLeft w:val="0"/>
                          <w:marRight w:val="0"/>
                          <w:marTop w:val="0"/>
                          <w:marBottom w:val="0"/>
                          <w:divBdr>
                            <w:top w:val="none" w:sz="0" w:space="0" w:color="auto"/>
                            <w:left w:val="none" w:sz="0" w:space="0" w:color="auto"/>
                            <w:bottom w:val="none" w:sz="0" w:space="0" w:color="auto"/>
                            <w:right w:val="none" w:sz="0" w:space="0" w:color="auto"/>
                          </w:divBdr>
                          <w:divsChild>
                            <w:div w:id="85926754">
                              <w:marLeft w:val="0"/>
                              <w:marRight w:val="0"/>
                              <w:marTop w:val="0"/>
                              <w:marBottom w:val="0"/>
                              <w:divBdr>
                                <w:top w:val="none" w:sz="0" w:space="0" w:color="auto"/>
                                <w:left w:val="none" w:sz="0" w:space="0" w:color="auto"/>
                                <w:bottom w:val="none" w:sz="0" w:space="0" w:color="auto"/>
                                <w:right w:val="none" w:sz="0" w:space="0" w:color="auto"/>
                              </w:divBdr>
                              <w:divsChild>
                                <w:div w:id="701979504">
                                  <w:marLeft w:val="0"/>
                                  <w:marRight w:val="0"/>
                                  <w:marTop w:val="0"/>
                                  <w:marBottom w:val="0"/>
                                  <w:divBdr>
                                    <w:top w:val="none" w:sz="0" w:space="0" w:color="auto"/>
                                    <w:left w:val="none" w:sz="0" w:space="0" w:color="auto"/>
                                    <w:bottom w:val="none" w:sz="0" w:space="0" w:color="auto"/>
                                    <w:right w:val="none" w:sz="0" w:space="0" w:color="auto"/>
                                  </w:divBdr>
                                  <w:divsChild>
                                    <w:div w:id="746266057">
                                      <w:marLeft w:val="0"/>
                                      <w:marRight w:val="0"/>
                                      <w:marTop w:val="0"/>
                                      <w:marBottom w:val="0"/>
                                      <w:divBdr>
                                        <w:top w:val="none" w:sz="0" w:space="0" w:color="auto"/>
                                        <w:left w:val="none" w:sz="0" w:space="0" w:color="auto"/>
                                        <w:bottom w:val="none" w:sz="0" w:space="0" w:color="auto"/>
                                        <w:right w:val="none" w:sz="0" w:space="0" w:color="auto"/>
                                      </w:divBdr>
                                      <w:divsChild>
                                        <w:div w:id="12508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458854">
      <w:bodyDiv w:val="1"/>
      <w:marLeft w:val="0"/>
      <w:marRight w:val="0"/>
      <w:marTop w:val="0"/>
      <w:marBottom w:val="0"/>
      <w:divBdr>
        <w:top w:val="none" w:sz="0" w:space="0" w:color="auto"/>
        <w:left w:val="none" w:sz="0" w:space="0" w:color="auto"/>
        <w:bottom w:val="none" w:sz="0" w:space="0" w:color="auto"/>
        <w:right w:val="none" w:sz="0" w:space="0" w:color="auto"/>
      </w:divBdr>
    </w:div>
    <w:div w:id="130528257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7314584">
      <w:bodyDiv w:val="1"/>
      <w:marLeft w:val="0"/>
      <w:marRight w:val="0"/>
      <w:marTop w:val="0"/>
      <w:marBottom w:val="0"/>
      <w:divBdr>
        <w:top w:val="none" w:sz="0" w:space="0" w:color="auto"/>
        <w:left w:val="none" w:sz="0" w:space="0" w:color="auto"/>
        <w:bottom w:val="none" w:sz="0" w:space="0" w:color="auto"/>
        <w:right w:val="none" w:sz="0" w:space="0" w:color="auto"/>
      </w:divBdr>
    </w:div>
    <w:div w:id="146820381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3824158">
      <w:bodyDiv w:val="1"/>
      <w:marLeft w:val="0"/>
      <w:marRight w:val="0"/>
      <w:marTop w:val="0"/>
      <w:marBottom w:val="0"/>
      <w:divBdr>
        <w:top w:val="none" w:sz="0" w:space="0" w:color="auto"/>
        <w:left w:val="none" w:sz="0" w:space="0" w:color="auto"/>
        <w:bottom w:val="none" w:sz="0" w:space="0" w:color="auto"/>
        <w:right w:val="none" w:sz="0" w:space="0" w:color="auto"/>
      </w:divBdr>
    </w:div>
    <w:div w:id="21034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dwc.vic.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fo@vdwc.vic.gov.au" TargetMode="External"/><Relationship Id="rId2" Type="http://schemas.openxmlformats.org/officeDocument/2006/relationships/customXml" Target="../customXml/item2.xml"/><Relationship Id="rId16" Type="http://schemas.openxmlformats.org/officeDocument/2006/relationships/hyperlink" Target="mailto:info@vdwc.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vic.gov.au/privacy-vic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8ac6c3c-bf01-48ca-9182-c1ef7a70d069">
      <UserInfo>
        <DisplayName>Kate Maddern (VDWC)</DisplayName>
        <AccountId>12</AccountId>
        <AccountType/>
      </UserInfo>
      <UserInfo>
        <DisplayName>Max Steed</DisplayName>
        <AccountId>10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08CCD0EB87634E83333E754F526B9E" ma:contentTypeVersion="10" ma:contentTypeDescription="Create a new document." ma:contentTypeScope="" ma:versionID="9c02142bba4b3d7048f57c54989832d9">
  <xsd:schema xmlns:xsd="http://www.w3.org/2001/XMLSchema" xmlns:xs="http://www.w3.org/2001/XMLSchema" xmlns:p="http://schemas.microsoft.com/office/2006/metadata/properties" xmlns:ns2="92e17f3e-12e5-4692-b930-290c23793bfa" xmlns:ns3="b8ac6c3c-bf01-48ca-9182-c1ef7a70d069" targetNamespace="http://schemas.microsoft.com/office/2006/metadata/properties" ma:root="true" ma:fieldsID="06d2f0aa35871d7bea48bbaba1fbb7dd" ns2:_="" ns3:_="">
    <xsd:import namespace="92e17f3e-12e5-4692-b930-290c23793bfa"/>
    <xsd:import namespace="b8ac6c3c-bf01-48ca-9182-c1ef7a70d0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17f3e-12e5-4692-b930-290c23793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c6c3c-bf01-48ca-9182-c1ef7a70d0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47650-4353-42F6-9903-2976024DFCA0}">
  <ds:schemaRefs>
    <ds:schemaRef ds:uri="http://schemas.microsoft.com/sharepoint/v3/contenttype/forms"/>
  </ds:schemaRefs>
</ds:datastoreItem>
</file>

<file path=customXml/itemProps2.xml><?xml version="1.0" encoding="utf-8"?>
<ds:datastoreItem xmlns:ds="http://schemas.openxmlformats.org/officeDocument/2006/customXml" ds:itemID="{873C8C84-9693-4A01-AB44-712242BD3136}">
  <ds:schemaRefs>
    <ds:schemaRef ds:uri="http://schemas.openxmlformats.org/officeDocument/2006/bibliography"/>
  </ds:schemaRefs>
</ds:datastoreItem>
</file>

<file path=customXml/itemProps3.xml><?xml version="1.0" encoding="utf-8"?>
<ds:datastoreItem xmlns:ds="http://schemas.openxmlformats.org/officeDocument/2006/customXml" ds:itemID="{C5B5B1B4-8F22-4DEA-8A57-5447C7C5ED5A}">
  <ds:schemaRefs>
    <ds:schemaRef ds:uri="http://schemas.microsoft.com/office/2006/metadata/properties"/>
    <ds:schemaRef ds:uri="http://schemas.microsoft.com/office/infopath/2007/PartnerControls"/>
    <ds:schemaRef ds:uri="001dfbb6-5e7c-4f8e-a98b-73e5dbf48b3a"/>
    <ds:schemaRef ds:uri="479654b5-7a65-4b67-bd8e-1eaaf9e0526d"/>
    <ds:schemaRef ds:uri="b8ac6c3c-bf01-48ca-9182-c1ef7a70d069"/>
  </ds:schemaRefs>
</ds:datastoreItem>
</file>

<file path=customXml/itemProps4.xml><?xml version="1.0" encoding="utf-8"?>
<ds:datastoreItem xmlns:ds="http://schemas.openxmlformats.org/officeDocument/2006/customXml" ds:itemID="{D5A52169-02E3-4D24-B7F1-7AD4B33D1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17f3e-12e5-4692-b930-290c23793bfa"/>
    <ds:schemaRef ds:uri="b8ac6c3c-bf01-48ca-9182-c1ef7a70d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2973</Words>
  <Characters>16950</Characters>
  <Application>Microsoft Office Word</Application>
  <DocSecurity>4</DocSecurity>
  <Lines>141</Lines>
  <Paragraphs>39</Paragraphs>
  <ScaleCrop>false</ScaleCrop>
  <Company>Victorian Disability Worker Commission</Company>
  <LinksUpToDate>false</LinksUpToDate>
  <CharactersWithSpaces>19884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VDWC - Privacy policy - proposed amendments</dc:title>
  <dc:subject/>
  <dc:creator>Max Steed (VDWC)</dc:creator>
  <cp:keywords/>
  <dc:description/>
  <cp:lastModifiedBy>Catherine Dennehy (VDWC)</cp:lastModifiedBy>
  <cp:revision>2</cp:revision>
  <cp:lastPrinted>2021-02-18T02:46:00Z</cp:lastPrinted>
  <dcterms:created xsi:type="dcterms:W3CDTF">2021-04-29T05:44:00Z</dcterms:created>
  <dcterms:modified xsi:type="dcterms:W3CDTF">2021-04-29T05:44:00Z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0x0101009C08CCD0EB87634E83333E754F526B9E</vt:lpwstr>
  </property>
  <property fmtid="{D5CDD505-2E9C-101B-9397-08002B2CF9AE}" pid="4" name="MSIP_Label_43e64453-338c-4f93-8a4d-0039a0a41f2a_Enabled">
    <vt:lpwstr>true</vt:lpwstr>
  </property>
  <property fmtid="{D5CDD505-2E9C-101B-9397-08002B2CF9AE}" pid="5" name="MSIP_Label_43e64453-338c-4f93-8a4d-0039a0a41f2a_SetDate">
    <vt:lpwstr>2021-04-29T05:44:17Z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c4eadcfc-be2d-421c-9790-57a4bc9e3d34</vt:lpwstr>
  </property>
  <property fmtid="{D5CDD505-2E9C-101B-9397-08002B2CF9AE}" pid="10" name="MSIP_Label_43e64453-338c-4f93-8a4d-0039a0a41f2a_ContentBits">
    <vt:lpwstr>2</vt:lpwstr>
  </property>
</Properties>
</file>